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34BAE" w14:textId="77777777" w:rsidR="006A3D1C" w:rsidRDefault="006A3D1C">
      <w:pPr>
        <w:jc w:val="right"/>
        <w:rPr>
          <w:rFonts w:ascii="Arial" w:hAnsi="Arial"/>
          <w:color w:val="000000"/>
        </w:rPr>
      </w:pPr>
    </w:p>
    <w:p w14:paraId="1E1B077D" w14:textId="72303AAC" w:rsidR="006A3D1C" w:rsidRDefault="0058411C" w:rsidP="00A86A34">
      <w:pPr>
        <w:jc w:val="right"/>
        <w:rPr>
          <w:rFonts w:ascii="Arial" w:hAnsi="Arial"/>
          <w:color w:val="000000"/>
        </w:rPr>
      </w:pPr>
      <w:r>
        <w:rPr>
          <w:noProof/>
        </w:rPr>
        <w:drawing>
          <wp:inline distT="0" distB="0" distL="0" distR="0" wp14:anchorId="28C91D94" wp14:editId="530E99D4">
            <wp:extent cx="1409700"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92480"/>
                    </a:xfrm>
                    <a:prstGeom prst="rect">
                      <a:avLst/>
                    </a:prstGeom>
                    <a:noFill/>
                    <a:ln>
                      <a:noFill/>
                    </a:ln>
                  </pic:spPr>
                </pic:pic>
              </a:graphicData>
            </a:graphic>
          </wp:inline>
        </w:drawing>
      </w:r>
    </w:p>
    <w:p w14:paraId="0DFAFF82" w14:textId="77777777" w:rsidR="006A3D1C" w:rsidRDefault="006A3D1C">
      <w:pPr>
        <w:rPr>
          <w:rFonts w:ascii="Arial" w:hAnsi="Arial"/>
          <w:color w:val="000000"/>
        </w:rPr>
      </w:pPr>
    </w:p>
    <w:p w14:paraId="7128E16F" w14:textId="77777777" w:rsidR="006A3D1C" w:rsidRDefault="006A3D1C">
      <w:pPr>
        <w:rPr>
          <w:rFonts w:ascii="Arial" w:hAnsi="Arial"/>
          <w:color w:val="000000"/>
        </w:rPr>
      </w:pPr>
    </w:p>
    <w:p w14:paraId="485D5CE7" w14:textId="77777777" w:rsidR="005227B2" w:rsidRPr="00136284" w:rsidRDefault="005227B2" w:rsidP="005227B2">
      <w:pPr>
        <w:rPr>
          <w:rFonts w:ascii="Arial" w:hAnsi="Arial"/>
          <w:color w:val="FF0000"/>
        </w:rPr>
      </w:pPr>
      <w:r w:rsidRPr="00136284">
        <w:rPr>
          <w:rFonts w:ascii="Arial" w:hAnsi="Arial"/>
          <w:color w:val="FF0000"/>
        </w:rPr>
        <w:fldChar w:fldCharType="begin"/>
      </w:r>
      <w:r w:rsidRPr="00136284">
        <w:rPr>
          <w:rFonts w:ascii="Arial" w:hAnsi="Arial"/>
          <w:color w:val="FF0000"/>
        </w:rPr>
        <w:instrText xml:space="preserve"> MERGEFIELD Date </w:instrText>
      </w:r>
      <w:r w:rsidRPr="00136284">
        <w:rPr>
          <w:rFonts w:ascii="Arial" w:hAnsi="Arial"/>
          <w:color w:val="FF0000"/>
        </w:rPr>
        <w:fldChar w:fldCharType="separate"/>
      </w:r>
      <w:r w:rsidRPr="00136284">
        <w:rPr>
          <w:rFonts w:ascii="Arial" w:hAnsi="Arial"/>
          <w:noProof/>
          <w:color w:val="FF0000"/>
        </w:rPr>
        <w:t>«Date»</w:t>
      </w:r>
      <w:r w:rsidRPr="00136284">
        <w:rPr>
          <w:rFonts w:ascii="Arial" w:hAnsi="Arial"/>
          <w:color w:val="FF0000"/>
        </w:rPr>
        <w:fldChar w:fldCharType="end"/>
      </w:r>
    </w:p>
    <w:p w14:paraId="40C1F43E" w14:textId="77777777" w:rsidR="005227B2" w:rsidRPr="00136284" w:rsidRDefault="005227B2" w:rsidP="005227B2">
      <w:pPr>
        <w:rPr>
          <w:rFonts w:ascii="Arial" w:hAnsi="Arial"/>
          <w:color w:val="FF0000"/>
        </w:rPr>
      </w:pPr>
    </w:p>
    <w:p w14:paraId="6BC3BEB2" w14:textId="77777777" w:rsidR="005227B2" w:rsidRPr="00136284" w:rsidRDefault="005227B2" w:rsidP="005227B2">
      <w:pPr>
        <w:rPr>
          <w:rFonts w:ascii="Arial" w:hAnsi="Arial"/>
          <w:color w:val="FF0000"/>
        </w:rPr>
      </w:pPr>
      <w:r w:rsidRPr="00136284">
        <w:rPr>
          <w:rFonts w:ascii="Arial" w:hAnsi="Arial"/>
          <w:color w:val="FF0000"/>
        </w:rPr>
        <w:fldChar w:fldCharType="begin"/>
      </w:r>
      <w:r w:rsidRPr="00136284">
        <w:rPr>
          <w:rFonts w:ascii="Arial" w:hAnsi="Arial"/>
          <w:color w:val="FF0000"/>
        </w:rPr>
        <w:instrText xml:space="preserve"> MERGEFIELD Title </w:instrText>
      </w:r>
      <w:r w:rsidRPr="00136284">
        <w:rPr>
          <w:rFonts w:ascii="Arial" w:hAnsi="Arial"/>
          <w:color w:val="FF0000"/>
        </w:rPr>
        <w:fldChar w:fldCharType="separate"/>
      </w:r>
      <w:r w:rsidRPr="00136284">
        <w:rPr>
          <w:rFonts w:ascii="Arial" w:hAnsi="Arial"/>
          <w:noProof/>
          <w:color w:val="FF0000"/>
        </w:rPr>
        <w:t>«Title»</w:t>
      </w:r>
      <w:r w:rsidRPr="00136284">
        <w:rPr>
          <w:rFonts w:ascii="Arial" w:hAnsi="Arial"/>
          <w:color w:val="FF0000"/>
        </w:rPr>
        <w:fldChar w:fldCharType="end"/>
      </w:r>
      <w:r w:rsidRPr="00136284">
        <w:rPr>
          <w:rFonts w:ascii="Arial" w:hAnsi="Arial"/>
          <w:color w:val="FF0000"/>
        </w:rPr>
        <w:t xml:space="preserve"> </w:t>
      </w:r>
      <w:r w:rsidRPr="00136284">
        <w:rPr>
          <w:rFonts w:ascii="Arial" w:hAnsi="Arial"/>
          <w:color w:val="FF0000"/>
        </w:rPr>
        <w:fldChar w:fldCharType="begin"/>
      </w:r>
      <w:r w:rsidRPr="00136284">
        <w:rPr>
          <w:rFonts w:ascii="Arial" w:hAnsi="Arial"/>
          <w:color w:val="FF0000"/>
        </w:rPr>
        <w:instrText xml:space="preserve"> MERGEFIELD FirstName </w:instrText>
      </w:r>
      <w:r w:rsidRPr="00136284">
        <w:rPr>
          <w:rFonts w:ascii="Arial" w:hAnsi="Arial"/>
          <w:color w:val="FF0000"/>
        </w:rPr>
        <w:fldChar w:fldCharType="separate"/>
      </w:r>
      <w:r w:rsidRPr="00136284">
        <w:rPr>
          <w:rFonts w:ascii="Arial" w:hAnsi="Arial"/>
          <w:noProof/>
          <w:color w:val="FF0000"/>
        </w:rPr>
        <w:t>«FirstName»</w:t>
      </w:r>
      <w:r w:rsidRPr="00136284">
        <w:rPr>
          <w:rFonts w:ascii="Arial" w:hAnsi="Arial"/>
          <w:color w:val="FF0000"/>
        </w:rPr>
        <w:fldChar w:fldCharType="end"/>
      </w:r>
      <w:r w:rsidRPr="00136284">
        <w:rPr>
          <w:rFonts w:ascii="Arial" w:hAnsi="Arial"/>
          <w:color w:val="FF0000"/>
        </w:rPr>
        <w:t xml:space="preserve"> </w:t>
      </w:r>
      <w:r w:rsidRPr="00136284">
        <w:rPr>
          <w:rFonts w:ascii="Arial" w:hAnsi="Arial"/>
          <w:color w:val="FF0000"/>
        </w:rPr>
        <w:fldChar w:fldCharType="begin"/>
      </w:r>
      <w:r w:rsidRPr="00136284">
        <w:rPr>
          <w:rFonts w:ascii="Arial" w:hAnsi="Arial"/>
          <w:color w:val="FF0000"/>
        </w:rPr>
        <w:instrText xml:space="preserve"> MERGEFIELD LastName </w:instrText>
      </w:r>
      <w:r w:rsidRPr="00136284">
        <w:rPr>
          <w:rFonts w:ascii="Arial" w:hAnsi="Arial"/>
          <w:color w:val="FF0000"/>
        </w:rPr>
        <w:fldChar w:fldCharType="separate"/>
      </w:r>
      <w:r w:rsidRPr="00136284">
        <w:rPr>
          <w:rFonts w:ascii="Arial" w:hAnsi="Arial"/>
          <w:noProof/>
          <w:color w:val="FF0000"/>
        </w:rPr>
        <w:t>«LastName»</w:t>
      </w:r>
      <w:r w:rsidRPr="00136284">
        <w:rPr>
          <w:rFonts w:ascii="Arial" w:hAnsi="Arial"/>
          <w:color w:val="FF0000"/>
        </w:rPr>
        <w:fldChar w:fldCharType="end"/>
      </w:r>
    </w:p>
    <w:p w14:paraId="4F779A24" w14:textId="77777777" w:rsidR="005227B2" w:rsidRPr="00136284" w:rsidRDefault="005227B2" w:rsidP="005227B2">
      <w:pPr>
        <w:rPr>
          <w:rFonts w:ascii="Arial" w:hAnsi="Arial"/>
          <w:color w:val="FF0000"/>
        </w:rPr>
      </w:pPr>
      <w:r w:rsidRPr="00136284">
        <w:rPr>
          <w:rFonts w:ascii="Arial" w:hAnsi="Arial"/>
          <w:color w:val="FF0000"/>
        </w:rPr>
        <w:fldChar w:fldCharType="begin"/>
      </w:r>
      <w:r w:rsidRPr="00136284">
        <w:rPr>
          <w:rFonts w:ascii="Arial" w:hAnsi="Arial"/>
          <w:color w:val="FF0000"/>
        </w:rPr>
        <w:instrText xml:space="preserve"> MERGEFIELD Company </w:instrText>
      </w:r>
      <w:r w:rsidRPr="00136284">
        <w:rPr>
          <w:rFonts w:ascii="Arial" w:hAnsi="Arial"/>
          <w:color w:val="FF0000"/>
        </w:rPr>
        <w:fldChar w:fldCharType="separate"/>
      </w:r>
      <w:r w:rsidRPr="00136284">
        <w:rPr>
          <w:rFonts w:ascii="Arial" w:hAnsi="Arial"/>
          <w:noProof/>
          <w:color w:val="FF0000"/>
        </w:rPr>
        <w:t>«Company»</w:t>
      </w:r>
      <w:r w:rsidRPr="00136284">
        <w:rPr>
          <w:rFonts w:ascii="Arial" w:hAnsi="Arial"/>
          <w:color w:val="FF0000"/>
        </w:rPr>
        <w:fldChar w:fldCharType="end"/>
      </w:r>
    </w:p>
    <w:p w14:paraId="3A612B13" w14:textId="77777777" w:rsidR="005227B2" w:rsidRPr="00136284" w:rsidRDefault="005227B2" w:rsidP="005227B2">
      <w:pPr>
        <w:rPr>
          <w:rFonts w:ascii="Arial" w:hAnsi="Arial"/>
          <w:color w:val="FF0000"/>
        </w:rPr>
      </w:pPr>
      <w:r w:rsidRPr="00136284">
        <w:rPr>
          <w:rFonts w:ascii="Arial" w:hAnsi="Arial"/>
          <w:color w:val="FF0000"/>
        </w:rPr>
        <w:fldChar w:fldCharType="begin"/>
      </w:r>
      <w:r w:rsidRPr="00136284">
        <w:rPr>
          <w:rFonts w:ascii="Arial" w:hAnsi="Arial"/>
          <w:color w:val="FF0000"/>
        </w:rPr>
        <w:instrText xml:space="preserve"> MERGEFIELD Address1 </w:instrText>
      </w:r>
      <w:r w:rsidRPr="00136284">
        <w:rPr>
          <w:rFonts w:ascii="Arial" w:hAnsi="Arial"/>
          <w:color w:val="FF0000"/>
        </w:rPr>
        <w:fldChar w:fldCharType="separate"/>
      </w:r>
      <w:r w:rsidRPr="00136284">
        <w:rPr>
          <w:rFonts w:ascii="Arial" w:hAnsi="Arial"/>
          <w:noProof/>
          <w:color w:val="FF0000"/>
        </w:rPr>
        <w:t>«Address1»</w:t>
      </w:r>
      <w:r w:rsidRPr="00136284">
        <w:rPr>
          <w:rFonts w:ascii="Arial" w:hAnsi="Arial"/>
          <w:color w:val="FF0000"/>
        </w:rPr>
        <w:fldChar w:fldCharType="end"/>
      </w:r>
    </w:p>
    <w:p w14:paraId="3CBE4322" w14:textId="77777777" w:rsidR="005227B2" w:rsidRPr="00136284" w:rsidRDefault="005227B2" w:rsidP="005227B2">
      <w:pPr>
        <w:rPr>
          <w:rFonts w:ascii="Arial" w:hAnsi="Arial"/>
          <w:color w:val="FF0000"/>
        </w:rPr>
      </w:pPr>
      <w:r w:rsidRPr="00136284">
        <w:rPr>
          <w:rFonts w:ascii="Arial" w:hAnsi="Arial"/>
          <w:color w:val="FF0000"/>
        </w:rPr>
        <w:fldChar w:fldCharType="begin"/>
      </w:r>
      <w:r w:rsidRPr="00136284">
        <w:rPr>
          <w:rFonts w:ascii="Arial" w:hAnsi="Arial"/>
          <w:color w:val="FF0000"/>
        </w:rPr>
        <w:instrText xml:space="preserve"> MERGEFIELD Address2 </w:instrText>
      </w:r>
      <w:r w:rsidRPr="00136284">
        <w:rPr>
          <w:rFonts w:ascii="Arial" w:hAnsi="Arial"/>
          <w:color w:val="FF0000"/>
        </w:rPr>
        <w:fldChar w:fldCharType="separate"/>
      </w:r>
      <w:r w:rsidRPr="00136284">
        <w:rPr>
          <w:rFonts w:ascii="Arial" w:hAnsi="Arial"/>
          <w:noProof/>
          <w:color w:val="FF0000"/>
        </w:rPr>
        <w:t>«Address2»</w:t>
      </w:r>
      <w:r w:rsidRPr="00136284">
        <w:rPr>
          <w:rFonts w:ascii="Arial" w:hAnsi="Arial"/>
          <w:color w:val="FF0000"/>
        </w:rPr>
        <w:fldChar w:fldCharType="end"/>
      </w:r>
    </w:p>
    <w:p w14:paraId="6A2230E9" w14:textId="77777777" w:rsidR="005227B2" w:rsidRPr="00136284" w:rsidRDefault="005227B2" w:rsidP="005227B2">
      <w:pPr>
        <w:rPr>
          <w:rFonts w:ascii="Arial" w:hAnsi="Arial"/>
          <w:color w:val="FF0000"/>
        </w:rPr>
      </w:pPr>
      <w:r w:rsidRPr="00136284">
        <w:rPr>
          <w:rFonts w:ascii="Arial" w:hAnsi="Arial"/>
          <w:color w:val="FF0000"/>
        </w:rPr>
        <w:fldChar w:fldCharType="begin"/>
      </w:r>
      <w:r w:rsidRPr="00136284">
        <w:rPr>
          <w:rFonts w:ascii="Arial" w:hAnsi="Arial"/>
          <w:color w:val="FF0000"/>
        </w:rPr>
        <w:instrText xml:space="preserve"> MERGEFIELD City </w:instrText>
      </w:r>
      <w:r w:rsidRPr="00136284">
        <w:rPr>
          <w:rFonts w:ascii="Arial" w:hAnsi="Arial"/>
          <w:color w:val="FF0000"/>
        </w:rPr>
        <w:fldChar w:fldCharType="separate"/>
      </w:r>
      <w:r w:rsidRPr="00136284">
        <w:rPr>
          <w:rFonts w:ascii="Arial" w:hAnsi="Arial"/>
          <w:noProof/>
          <w:color w:val="FF0000"/>
        </w:rPr>
        <w:t>«City»</w:t>
      </w:r>
      <w:r w:rsidRPr="00136284">
        <w:rPr>
          <w:rFonts w:ascii="Arial" w:hAnsi="Arial"/>
          <w:color w:val="FF0000"/>
        </w:rPr>
        <w:fldChar w:fldCharType="end"/>
      </w:r>
      <w:r w:rsidRPr="00136284">
        <w:rPr>
          <w:rFonts w:ascii="Arial" w:hAnsi="Arial"/>
          <w:color w:val="FF0000"/>
        </w:rPr>
        <w:t xml:space="preserve">, </w:t>
      </w:r>
      <w:r w:rsidRPr="00136284">
        <w:rPr>
          <w:rFonts w:ascii="Arial" w:hAnsi="Arial"/>
          <w:color w:val="FF0000"/>
        </w:rPr>
        <w:fldChar w:fldCharType="begin"/>
      </w:r>
      <w:r w:rsidRPr="00136284">
        <w:rPr>
          <w:rFonts w:ascii="Arial" w:hAnsi="Arial"/>
          <w:color w:val="FF0000"/>
        </w:rPr>
        <w:instrText xml:space="preserve"> MERGEFIELD State </w:instrText>
      </w:r>
      <w:r w:rsidRPr="00136284">
        <w:rPr>
          <w:rFonts w:ascii="Arial" w:hAnsi="Arial"/>
          <w:color w:val="FF0000"/>
        </w:rPr>
        <w:fldChar w:fldCharType="separate"/>
      </w:r>
      <w:r w:rsidRPr="00136284">
        <w:rPr>
          <w:rFonts w:ascii="Arial" w:hAnsi="Arial"/>
          <w:noProof/>
          <w:color w:val="FF0000"/>
        </w:rPr>
        <w:t>«State»</w:t>
      </w:r>
      <w:r w:rsidRPr="00136284">
        <w:rPr>
          <w:rFonts w:ascii="Arial" w:hAnsi="Arial"/>
          <w:color w:val="FF0000"/>
        </w:rPr>
        <w:fldChar w:fldCharType="end"/>
      </w:r>
      <w:r w:rsidRPr="00136284">
        <w:rPr>
          <w:rFonts w:ascii="Arial" w:hAnsi="Arial"/>
          <w:color w:val="FF0000"/>
        </w:rPr>
        <w:t xml:space="preserve">  </w:t>
      </w:r>
      <w:r w:rsidRPr="00136284">
        <w:rPr>
          <w:rFonts w:ascii="Arial" w:hAnsi="Arial"/>
          <w:color w:val="FF0000"/>
        </w:rPr>
        <w:fldChar w:fldCharType="begin"/>
      </w:r>
      <w:r w:rsidRPr="00136284">
        <w:rPr>
          <w:rFonts w:ascii="Arial" w:hAnsi="Arial"/>
          <w:color w:val="FF0000"/>
        </w:rPr>
        <w:instrText xml:space="preserve"> MERGEFIELD ZIPCode </w:instrText>
      </w:r>
      <w:r w:rsidRPr="00136284">
        <w:rPr>
          <w:rFonts w:ascii="Arial" w:hAnsi="Arial"/>
          <w:color w:val="FF0000"/>
        </w:rPr>
        <w:fldChar w:fldCharType="separate"/>
      </w:r>
      <w:r w:rsidRPr="00136284">
        <w:rPr>
          <w:rFonts w:ascii="Arial" w:hAnsi="Arial"/>
          <w:noProof/>
          <w:color w:val="FF0000"/>
        </w:rPr>
        <w:t>«ZIPCode»</w:t>
      </w:r>
      <w:r w:rsidRPr="00136284">
        <w:rPr>
          <w:rFonts w:ascii="Arial" w:hAnsi="Arial"/>
          <w:color w:val="FF0000"/>
        </w:rPr>
        <w:fldChar w:fldCharType="end"/>
      </w:r>
    </w:p>
    <w:p w14:paraId="3CBB5860" w14:textId="77777777" w:rsidR="006A3D1C" w:rsidRPr="00194AC7" w:rsidRDefault="006A3D1C">
      <w:pPr>
        <w:rPr>
          <w:rFonts w:ascii="Arial" w:hAnsi="Arial"/>
        </w:rPr>
      </w:pPr>
    </w:p>
    <w:p w14:paraId="7A3A2CC5" w14:textId="77777777" w:rsidR="006A3D1C" w:rsidRPr="00194AC7" w:rsidRDefault="006A3D1C">
      <w:pPr>
        <w:rPr>
          <w:rFonts w:ascii="Arial" w:hAnsi="Arial"/>
          <w:u w:val="single"/>
        </w:rPr>
      </w:pPr>
      <w:r w:rsidRPr="00194AC7">
        <w:rPr>
          <w:rFonts w:ascii="Arial" w:hAnsi="Arial"/>
        </w:rPr>
        <w:t xml:space="preserve">Re: </w:t>
      </w:r>
      <w:r w:rsidRPr="00194AC7">
        <w:rPr>
          <w:rFonts w:ascii="Arial" w:hAnsi="Arial"/>
          <w:u w:val="single"/>
        </w:rPr>
        <w:t>Engagement Agreement</w:t>
      </w:r>
    </w:p>
    <w:p w14:paraId="24D46FDD" w14:textId="77777777" w:rsidR="006A3D1C" w:rsidRPr="00194AC7" w:rsidRDefault="006A3D1C">
      <w:pPr>
        <w:rPr>
          <w:rFonts w:ascii="Arial" w:hAnsi="Arial"/>
        </w:rPr>
      </w:pPr>
    </w:p>
    <w:p w14:paraId="04D43327" w14:textId="77777777" w:rsidR="006A3D1C" w:rsidRPr="00194AC7" w:rsidRDefault="006A3D1C">
      <w:pPr>
        <w:rPr>
          <w:rFonts w:ascii="Arial" w:hAnsi="Arial"/>
        </w:rPr>
      </w:pPr>
      <w:r w:rsidRPr="00194AC7">
        <w:rPr>
          <w:rFonts w:ascii="Arial" w:hAnsi="Arial"/>
        </w:rPr>
        <w:t xml:space="preserve">Dear </w:t>
      </w:r>
      <w:r w:rsidR="005227B2" w:rsidRPr="00136284">
        <w:rPr>
          <w:rFonts w:ascii="Arial" w:hAnsi="Arial" w:cs="Arial"/>
          <w:color w:val="FF0000"/>
        </w:rPr>
        <w:t>&lt;customer&gt;:</w:t>
      </w:r>
    </w:p>
    <w:p w14:paraId="5BBB05AE" w14:textId="77777777" w:rsidR="006A3D1C" w:rsidRPr="00194AC7" w:rsidRDefault="006A3D1C">
      <w:pPr>
        <w:rPr>
          <w:rFonts w:ascii="Arial" w:hAnsi="Arial"/>
        </w:rPr>
      </w:pPr>
    </w:p>
    <w:p w14:paraId="30D5CBFD" w14:textId="77777777" w:rsidR="006A3D1C" w:rsidRPr="00194AC7" w:rsidRDefault="006A3D1C">
      <w:pPr>
        <w:rPr>
          <w:rFonts w:ascii="Arial" w:hAnsi="Arial"/>
        </w:rPr>
      </w:pPr>
      <w:r w:rsidRPr="00194AC7">
        <w:rPr>
          <w:rFonts w:ascii="Arial" w:hAnsi="Arial"/>
        </w:rPr>
        <w:t xml:space="preserve">The purpose of this letter and the attached terms and conditions is to document an agreement between </w:t>
      </w:r>
      <w:r w:rsidR="007572A9" w:rsidRPr="00194AC7">
        <w:rPr>
          <w:rFonts w:ascii="Arial" w:hAnsi="Arial"/>
        </w:rPr>
        <w:t>Abila</w:t>
      </w:r>
      <w:r w:rsidR="007572A9" w:rsidRPr="00194AC7">
        <w:rPr>
          <w:rFonts w:ascii="Arial" w:hAnsi="Arial"/>
          <w:b/>
        </w:rPr>
        <w:t xml:space="preserve"> (Abila</w:t>
      </w:r>
      <w:r w:rsidR="00A86A34" w:rsidRPr="00194AC7">
        <w:rPr>
          <w:rFonts w:ascii="Arial" w:hAnsi="Arial"/>
          <w:b/>
        </w:rPr>
        <w:t>, Inc.</w:t>
      </w:r>
      <w:r w:rsidR="00410BCA" w:rsidRPr="00194AC7">
        <w:rPr>
          <w:rFonts w:ascii="Arial" w:hAnsi="Arial"/>
          <w:b/>
        </w:rPr>
        <w:t xml:space="preserve">“) </w:t>
      </w:r>
      <w:r w:rsidRPr="00194AC7">
        <w:rPr>
          <w:rFonts w:ascii="Arial" w:hAnsi="Arial"/>
        </w:rPr>
        <w:t xml:space="preserve">and </w:t>
      </w:r>
      <w:r w:rsidR="005227B2" w:rsidRPr="00136284">
        <w:rPr>
          <w:rFonts w:ascii="Arial" w:hAnsi="Arial" w:cs="Arial"/>
          <w:color w:val="FF0000"/>
        </w:rPr>
        <w:t>XXXXX (organization name)</w:t>
      </w:r>
      <w:r w:rsidR="005227B2" w:rsidRPr="00C21FB1">
        <w:rPr>
          <w:rFonts w:ascii="Arial" w:hAnsi="Arial" w:cs="Arial"/>
        </w:rPr>
        <w:t xml:space="preserve"> </w:t>
      </w:r>
      <w:r w:rsidR="005227B2" w:rsidRPr="00C21FB1">
        <w:rPr>
          <w:rFonts w:ascii="Arial" w:hAnsi="Arial" w:cs="Arial"/>
          <w:color w:val="FF0000"/>
        </w:rPr>
        <w:t xml:space="preserve"> </w:t>
      </w:r>
      <w:r w:rsidRPr="00194AC7">
        <w:rPr>
          <w:rFonts w:ascii="Arial" w:hAnsi="Arial"/>
        </w:rPr>
        <w:t xml:space="preserve">as to the nature and timing of the customer support case services that </w:t>
      </w:r>
      <w:r w:rsidR="007572A9" w:rsidRPr="00194AC7">
        <w:rPr>
          <w:rFonts w:ascii="Arial" w:hAnsi="Arial"/>
        </w:rPr>
        <w:t>Abila</w:t>
      </w:r>
      <w:r w:rsidRPr="00194AC7">
        <w:rPr>
          <w:rFonts w:ascii="Arial" w:hAnsi="Arial"/>
        </w:rPr>
        <w:t xml:space="preserve"> will render under the agreement.</w:t>
      </w:r>
    </w:p>
    <w:p w14:paraId="14FF7258" w14:textId="77777777" w:rsidR="006A3D1C" w:rsidRPr="00194AC7" w:rsidRDefault="006A3D1C">
      <w:pPr>
        <w:rPr>
          <w:rFonts w:ascii="Arial" w:hAnsi="Arial"/>
        </w:rPr>
      </w:pPr>
    </w:p>
    <w:p w14:paraId="26D24DBF" w14:textId="77777777" w:rsidR="006A3D1C" w:rsidRPr="00194AC7" w:rsidRDefault="006A3D1C">
      <w:pPr>
        <w:rPr>
          <w:rFonts w:ascii="Arial" w:hAnsi="Arial"/>
        </w:rPr>
      </w:pPr>
      <w:r w:rsidRPr="00194AC7">
        <w:rPr>
          <w:rFonts w:ascii="Arial" w:hAnsi="Arial"/>
        </w:rPr>
        <w:t>Many customer support cases concerning data issues can be resolved through SQL scripts that are prepared base</w:t>
      </w:r>
      <w:r w:rsidR="00410BCA" w:rsidRPr="00194AC7">
        <w:rPr>
          <w:rFonts w:ascii="Arial" w:hAnsi="Arial"/>
        </w:rPr>
        <w:t xml:space="preserve">d on the evaluation copy.  </w:t>
      </w:r>
      <w:r w:rsidR="007572A9" w:rsidRPr="00194AC7">
        <w:rPr>
          <w:rFonts w:ascii="Arial" w:hAnsi="Arial"/>
        </w:rPr>
        <w:t>Abila</w:t>
      </w:r>
      <w:r w:rsidR="00410BCA" w:rsidRPr="00194AC7">
        <w:rPr>
          <w:rFonts w:ascii="Arial" w:hAnsi="Arial"/>
        </w:rPr>
        <w:t xml:space="preserve">’s </w:t>
      </w:r>
      <w:r w:rsidRPr="00194AC7">
        <w:rPr>
          <w:rFonts w:ascii="Arial" w:hAnsi="Arial"/>
        </w:rPr>
        <w:t xml:space="preserve">services hereunder will include analyzing an evaluation copy that you </w:t>
      </w:r>
      <w:proofErr w:type="gramStart"/>
      <w:r w:rsidRPr="00194AC7">
        <w:rPr>
          <w:rFonts w:ascii="Arial" w:hAnsi="Arial"/>
        </w:rPr>
        <w:t>submit, and</w:t>
      </w:r>
      <w:proofErr w:type="gramEnd"/>
      <w:r w:rsidRPr="00194AC7">
        <w:rPr>
          <w:rFonts w:ascii="Arial" w:hAnsi="Arial"/>
        </w:rPr>
        <w:t xml:space="preserve"> preparing and testing the script(s) and then delivering them after such tests.</w:t>
      </w:r>
    </w:p>
    <w:p w14:paraId="6CFD5F91" w14:textId="77777777" w:rsidR="006A3D1C" w:rsidRPr="00194AC7" w:rsidRDefault="006A3D1C">
      <w:pPr>
        <w:rPr>
          <w:rFonts w:ascii="Arial" w:hAnsi="Arial"/>
        </w:rPr>
      </w:pPr>
    </w:p>
    <w:p w14:paraId="4F482CF2" w14:textId="77777777" w:rsidR="006A3D1C" w:rsidRPr="00194AC7" w:rsidRDefault="006A3D1C">
      <w:pPr>
        <w:rPr>
          <w:rFonts w:ascii="Arial" w:hAnsi="Arial"/>
        </w:rPr>
      </w:pPr>
      <w:r w:rsidRPr="00194AC7">
        <w:rPr>
          <w:rFonts w:ascii="Arial" w:hAnsi="Arial"/>
        </w:rPr>
        <w:t xml:space="preserve">If your issue cannot be resolved through SQL scripts, </w:t>
      </w:r>
      <w:r w:rsidR="007572A9" w:rsidRPr="00194AC7">
        <w:rPr>
          <w:rFonts w:ascii="Arial" w:hAnsi="Arial"/>
        </w:rPr>
        <w:t>Abila</w:t>
      </w:r>
      <w:r w:rsidRPr="00194AC7">
        <w:rPr>
          <w:rFonts w:ascii="Arial" w:hAnsi="Arial"/>
        </w:rPr>
        <w:t xml:space="preserve"> will request a second copy of your data.  If this occurs, we recommend that you then postpone further use of the </w:t>
      </w:r>
      <w:r w:rsidR="00AD2895" w:rsidRPr="00194AC7">
        <w:rPr>
          <w:rFonts w:ascii="Arial" w:hAnsi="Arial"/>
        </w:rPr>
        <w:t>software</w:t>
      </w:r>
      <w:r w:rsidRPr="00194AC7">
        <w:rPr>
          <w:rFonts w:ascii="Arial" w:hAnsi="Arial"/>
        </w:rPr>
        <w:t xml:space="preserve"> until further notice.</w:t>
      </w:r>
    </w:p>
    <w:p w14:paraId="1EF10FB7" w14:textId="77777777" w:rsidR="006A3D1C" w:rsidRPr="00194AC7" w:rsidRDefault="006A3D1C">
      <w:pPr>
        <w:rPr>
          <w:rFonts w:ascii="Arial" w:hAnsi="Arial"/>
        </w:rPr>
      </w:pPr>
    </w:p>
    <w:p w14:paraId="20F4A41E" w14:textId="622BC5E3" w:rsidR="006A3D1C" w:rsidRDefault="006A3D1C">
      <w:pPr>
        <w:rPr>
          <w:rFonts w:ascii="Arial" w:hAnsi="Arial"/>
        </w:rPr>
      </w:pPr>
      <w:r w:rsidRPr="00194AC7">
        <w:rPr>
          <w:rFonts w:ascii="Arial" w:hAnsi="Arial"/>
        </w:rPr>
        <w:t>Description of Issue:</w:t>
      </w:r>
      <w:r w:rsidR="00394278">
        <w:rPr>
          <w:rFonts w:ascii="Arial" w:hAnsi="Arial"/>
        </w:rPr>
        <w:t xml:space="preserve"> 1099 MISC/NEC Adjustment Cleanup</w:t>
      </w:r>
    </w:p>
    <w:p w14:paraId="44537F1D" w14:textId="524059B8" w:rsidR="00394278" w:rsidRDefault="00394278">
      <w:pPr>
        <w:rPr>
          <w:rFonts w:ascii="Arial" w:hAnsi="Arial"/>
        </w:rPr>
      </w:pPr>
    </w:p>
    <w:p w14:paraId="60D99079" w14:textId="77777777" w:rsidR="00394278" w:rsidRDefault="00394278" w:rsidP="00394278">
      <w:pPr>
        <w:rPr>
          <w:rFonts w:ascii="Arial" w:hAnsi="Arial" w:cs="Arial"/>
          <w:color w:val="000000"/>
          <w:sz w:val="24"/>
          <w:szCs w:val="24"/>
        </w:rPr>
      </w:pPr>
      <w:r>
        <w:rPr>
          <w:rFonts w:ascii="Arial" w:hAnsi="Arial" w:cs="Arial"/>
          <w:color w:val="000000"/>
          <w:sz w:val="24"/>
          <w:szCs w:val="24"/>
        </w:rPr>
        <w:t>This script will delete ALL 1099 MISC Box 07 adjustments for 2020.</w:t>
      </w:r>
    </w:p>
    <w:p w14:paraId="15885397" w14:textId="77777777" w:rsidR="00394278" w:rsidRDefault="00394278" w:rsidP="00394278">
      <w:pPr>
        <w:rPr>
          <w:rFonts w:ascii="Arial" w:hAnsi="Arial" w:cs="Arial"/>
          <w:color w:val="000000"/>
          <w:sz w:val="24"/>
          <w:szCs w:val="24"/>
        </w:rPr>
      </w:pPr>
      <w:r>
        <w:rPr>
          <w:rFonts w:ascii="Arial" w:hAnsi="Arial" w:cs="Arial"/>
          <w:color w:val="000000"/>
          <w:sz w:val="24"/>
          <w:szCs w:val="24"/>
        </w:rPr>
        <w:t>This script will delete ALL 1099-NEC Box 01 adjustments for 2020.</w:t>
      </w:r>
    </w:p>
    <w:p w14:paraId="29FB9555" w14:textId="77777777" w:rsidR="00394278" w:rsidRDefault="00394278" w:rsidP="00394278">
      <w:pPr>
        <w:rPr>
          <w:rFonts w:ascii="Arial" w:hAnsi="Arial" w:cs="Arial"/>
          <w:color w:val="000000"/>
          <w:sz w:val="24"/>
          <w:szCs w:val="24"/>
        </w:rPr>
      </w:pPr>
      <w:r>
        <w:rPr>
          <w:rFonts w:ascii="Arial" w:hAnsi="Arial" w:cs="Arial"/>
          <w:color w:val="000000"/>
          <w:sz w:val="24"/>
          <w:szCs w:val="24"/>
        </w:rPr>
        <w:t>This script will not affect any adjustments except for those.</w:t>
      </w:r>
    </w:p>
    <w:p w14:paraId="339CB0AD" w14:textId="77777777" w:rsidR="00394278" w:rsidRDefault="00394278" w:rsidP="00394278">
      <w:pPr>
        <w:rPr>
          <w:rFonts w:ascii="Arial" w:hAnsi="Arial" w:cs="Arial"/>
          <w:color w:val="000000"/>
          <w:sz w:val="24"/>
          <w:szCs w:val="24"/>
        </w:rPr>
      </w:pPr>
      <w:r>
        <w:rPr>
          <w:rFonts w:ascii="Arial" w:hAnsi="Arial" w:cs="Arial"/>
          <w:color w:val="000000"/>
          <w:sz w:val="24"/>
          <w:szCs w:val="24"/>
        </w:rPr>
        <w:t>This script will not change values from MISC-07 to NEC-01. The 20.3 upgrade process will do that.</w:t>
      </w:r>
    </w:p>
    <w:p w14:paraId="1D32ABAD" w14:textId="77777777" w:rsidR="00394278" w:rsidRDefault="00394278" w:rsidP="00394278">
      <w:pPr>
        <w:rPr>
          <w:rFonts w:ascii="Arial" w:hAnsi="Arial" w:cs="Arial"/>
          <w:color w:val="000000"/>
          <w:sz w:val="24"/>
          <w:szCs w:val="24"/>
        </w:rPr>
      </w:pPr>
      <w:r>
        <w:rPr>
          <w:rFonts w:ascii="Arial" w:hAnsi="Arial" w:cs="Arial"/>
          <w:color w:val="000000"/>
          <w:sz w:val="24"/>
          <w:szCs w:val="24"/>
        </w:rPr>
        <w:t>If you had any MISC-07 or NEC-01 Adjustments that were not related to moving values (</w:t>
      </w:r>
      <w:proofErr w:type="spellStart"/>
      <w:r>
        <w:rPr>
          <w:rFonts w:ascii="Arial" w:hAnsi="Arial" w:cs="Arial"/>
          <w:color w:val="000000"/>
          <w:sz w:val="24"/>
          <w:szCs w:val="24"/>
        </w:rPr>
        <w:t>ie</w:t>
      </w:r>
      <w:proofErr w:type="spellEnd"/>
      <w:r>
        <w:rPr>
          <w:rFonts w:ascii="Arial" w:hAnsi="Arial" w:cs="Arial"/>
          <w:color w:val="000000"/>
          <w:sz w:val="24"/>
          <w:szCs w:val="24"/>
        </w:rPr>
        <w:t xml:space="preserve"> normal adjustments to fix amounts not associated with those 1099 boxes) you will need to re-enter those adjustments after running the script.</w:t>
      </w:r>
    </w:p>
    <w:p w14:paraId="09BECE0D" w14:textId="77777777" w:rsidR="00394278" w:rsidRPr="00194AC7" w:rsidRDefault="00394278">
      <w:pPr>
        <w:rPr>
          <w:rFonts w:ascii="Arial" w:hAnsi="Arial"/>
        </w:rPr>
      </w:pPr>
    </w:p>
    <w:p w14:paraId="6448D50F" w14:textId="77777777" w:rsidR="006A3D1C" w:rsidRPr="00194AC7" w:rsidRDefault="006A3D1C">
      <w:pPr>
        <w:rPr>
          <w:rFonts w:ascii="Arial" w:hAnsi="Arial"/>
        </w:rPr>
      </w:pPr>
    </w:p>
    <w:p w14:paraId="59228933" w14:textId="77777777" w:rsidR="006A3D1C" w:rsidRPr="00194AC7" w:rsidRDefault="006A3D1C">
      <w:pPr>
        <w:rPr>
          <w:rFonts w:ascii="Arial" w:hAnsi="Arial"/>
        </w:rPr>
      </w:pPr>
    </w:p>
    <w:p w14:paraId="1CF640D2" w14:textId="77777777" w:rsidR="006A3D1C" w:rsidRPr="00194AC7" w:rsidRDefault="006A3D1C">
      <w:pPr>
        <w:rPr>
          <w:rFonts w:ascii="Arial" w:hAnsi="Arial"/>
        </w:rPr>
      </w:pPr>
    </w:p>
    <w:p w14:paraId="2E218338" w14:textId="77777777" w:rsidR="006A3D1C" w:rsidRPr="00194AC7" w:rsidRDefault="006A3D1C">
      <w:pPr>
        <w:rPr>
          <w:rFonts w:ascii="Arial" w:hAnsi="Arial"/>
        </w:rPr>
      </w:pPr>
    </w:p>
    <w:p w14:paraId="56B3C765" w14:textId="77777777" w:rsidR="006A3D1C" w:rsidRPr="00194AC7" w:rsidRDefault="006A3D1C">
      <w:pPr>
        <w:rPr>
          <w:rFonts w:ascii="Arial" w:hAnsi="Arial"/>
        </w:rPr>
      </w:pPr>
    </w:p>
    <w:p w14:paraId="49F5558B" w14:textId="77777777" w:rsidR="006A3D1C" w:rsidRPr="00194AC7" w:rsidRDefault="006A3D1C">
      <w:pPr>
        <w:rPr>
          <w:rFonts w:ascii="Arial" w:hAnsi="Arial"/>
        </w:rPr>
      </w:pPr>
    </w:p>
    <w:p w14:paraId="63DF85E4" w14:textId="77777777" w:rsidR="006A3D1C" w:rsidRPr="00194AC7" w:rsidRDefault="006A3D1C">
      <w:pPr>
        <w:rPr>
          <w:rFonts w:ascii="Arial" w:hAnsi="Arial"/>
        </w:rPr>
      </w:pPr>
      <w:r w:rsidRPr="00194AC7">
        <w:rPr>
          <w:rFonts w:ascii="Arial" w:hAnsi="Arial"/>
        </w:rPr>
        <w:t xml:space="preserve">Charges for all case services will be assessed in 1-hour increments at a rate of </w:t>
      </w:r>
      <w:r w:rsidR="000460B2" w:rsidRPr="00194AC7">
        <w:rPr>
          <w:rFonts w:ascii="Arial" w:hAnsi="Arial"/>
        </w:rPr>
        <w:t>$195</w:t>
      </w:r>
      <w:r w:rsidRPr="00194AC7">
        <w:rPr>
          <w:rFonts w:ascii="Arial" w:hAnsi="Arial"/>
        </w:rPr>
        <w:t>/</w:t>
      </w:r>
      <w:proofErr w:type="spellStart"/>
      <w:r w:rsidRPr="00194AC7">
        <w:rPr>
          <w:rFonts w:ascii="Arial" w:hAnsi="Arial"/>
        </w:rPr>
        <w:t>hr</w:t>
      </w:r>
      <w:proofErr w:type="spellEnd"/>
      <w:r w:rsidRPr="00194AC7">
        <w:rPr>
          <w:rFonts w:ascii="Arial" w:hAnsi="Arial"/>
        </w:rPr>
        <w:t xml:space="preserve"> with a 2-hour minimum.  </w:t>
      </w:r>
      <w:r w:rsidR="007572A9" w:rsidRPr="00194AC7">
        <w:rPr>
          <w:rFonts w:ascii="Arial" w:hAnsi="Arial"/>
        </w:rPr>
        <w:t>Abila</w:t>
      </w:r>
      <w:r w:rsidRPr="00194AC7">
        <w:rPr>
          <w:rFonts w:ascii="Arial" w:hAnsi="Arial"/>
        </w:rPr>
        <w:t xml:space="preserve"> has estimated that the total time is</w:t>
      </w:r>
      <w:r w:rsidR="00194AC7" w:rsidRPr="00194AC7">
        <w:rPr>
          <w:rFonts w:ascii="Arial" w:hAnsi="Arial"/>
        </w:rPr>
        <w:t xml:space="preserve"> 0</w:t>
      </w:r>
      <w:r w:rsidRPr="00194AC7">
        <w:rPr>
          <w:rFonts w:ascii="Arial" w:hAnsi="Arial"/>
        </w:rPr>
        <w:t xml:space="preserve"> hours.  The total charge for the services and amount to pay are outlined below.</w:t>
      </w:r>
    </w:p>
    <w:p w14:paraId="11207836" w14:textId="77777777" w:rsidR="006A3D1C" w:rsidRPr="00194AC7" w:rsidRDefault="006A3D1C">
      <w:pPr>
        <w:rPr>
          <w:rFonts w:ascii="Arial" w:hAnsi="Arial"/>
        </w:rPr>
      </w:pPr>
    </w:p>
    <w:p w14:paraId="25B0772D" w14:textId="77777777" w:rsidR="006A3D1C" w:rsidRPr="00194AC7" w:rsidRDefault="006A3D1C">
      <w:pPr>
        <w:rPr>
          <w:rFonts w:ascii="Arial" w:hAnsi="Arial"/>
        </w:rPr>
      </w:pPr>
      <w:r w:rsidRPr="00194AC7">
        <w:rPr>
          <w:rFonts w:ascii="Arial" w:hAnsi="Arial"/>
        </w:rPr>
        <w:t>Please pay the balance</w:t>
      </w:r>
    </w:p>
    <w:p w14:paraId="7DD8BEBA" w14:textId="77777777" w:rsidR="006A3D1C" w:rsidRPr="00194AC7" w:rsidRDefault="006A3D1C">
      <w:pPr>
        <w:rPr>
          <w:rFonts w:ascii="Arial" w:hAnsi="Arial"/>
        </w:rPr>
      </w:pPr>
      <w:r w:rsidRPr="00194AC7">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3700"/>
      </w:tblGrid>
      <w:tr w:rsidR="00194AC7" w:rsidRPr="00194AC7" w14:paraId="7C983420" w14:textId="77777777" w:rsidTr="00D84E30">
        <w:trPr>
          <w:trHeight w:val="273"/>
        </w:trPr>
        <w:tc>
          <w:tcPr>
            <w:tcW w:w="3700" w:type="dxa"/>
            <w:shd w:val="clear" w:color="auto" w:fill="auto"/>
          </w:tcPr>
          <w:p w14:paraId="7F19ED69" w14:textId="77777777" w:rsidR="00F16742" w:rsidRPr="00194AC7" w:rsidRDefault="00F16742" w:rsidP="00D84E30">
            <w:pPr>
              <w:jc w:val="center"/>
              <w:rPr>
                <w:rFonts w:ascii="Arial" w:hAnsi="Arial"/>
                <w:b/>
              </w:rPr>
            </w:pPr>
            <w:r w:rsidRPr="00194AC7">
              <w:rPr>
                <w:rFonts w:ascii="Arial" w:hAnsi="Arial"/>
                <w:b/>
              </w:rPr>
              <w:t>Data Repair Charge</w:t>
            </w:r>
          </w:p>
        </w:tc>
        <w:tc>
          <w:tcPr>
            <w:tcW w:w="3700" w:type="dxa"/>
            <w:shd w:val="clear" w:color="auto" w:fill="auto"/>
          </w:tcPr>
          <w:p w14:paraId="20B5E17D" w14:textId="77777777" w:rsidR="00F16742" w:rsidRPr="00194AC7" w:rsidRDefault="00194AC7" w:rsidP="00D84E30">
            <w:pPr>
              <w:jc w:val="center"/>
              <w:rPr>
                <w:rFonts w:ascii="Arial" w:hAnsi="Arial"/>
              </w:rPr>
            </w:pPr>
            <w:r w:rsidRPr="00194AC7">
              <w:rPr>
                <w:rFonts w:ascii="Arial" w:hAnsi="Arial"/>
              </w:rPr>
              <w:t>0</w:t>
            </w:r>
          </w:p>
        </w:tc>
      </w:tr>
      <w:tr w:rsidR="00194AC7" w:rsidRPr="00194AC7" w14:paraId="6252E569" w14:textId="77777777" w:rsidTr="00D84E30">
        <w:trPr>
          <w:trHeight w:val="273"/>
        </w:trPr>
        <w:tc>
          <w:tcPr>
            <w:tcW w:w="3700" w:type="dxa"/>
            <w:shd w:val="clear" w:color="auto" w:fill="auto"/>
          </w:tcPr>
          <w:p w14:paraId="7614A6E8" w14:textId="77777777" w:rsidR="00F16742" w:rsidRPr="00194AC7" w:rsidRDefault="00F16742" w:rsidP="00D84E30">
            <w:pPr>
              <w:jc w:val="center"/>
              <w:rPr>
                <w:rFonts w:ascii="Arial" w:hAnsi="Arial"/>
              </w:rPr>
            </w:pPr>
            <w:r w:rsidRPr="00194AC7">
              <w:rPr>
                <w:rFonts w:ascii="Arial" w:hAnsi="Arial"/>
              </w:rPr>
              <w:t>Shipping Fee (if applicable)</w:t>
            </w:r>
          </w:p>
        </w:tc>
        <w:tc>
          <w:tcPr>
            <w:tcW w:w="3700" w:type="dxa"/>
            <w:shd w:val="clear" w:color="auto" w:fill="auto"/>
          </w:tcPr>
          <w:p w14:paraId="11541915" w14:textId="77777777" w:rsidR="00F16742" w:rsidRPr="00194AC7" w:rsidRDefault="00194AC7" w:rsidP="00D84E30">
            <w:pPr>
              <w:jc w:val="center"/>
              <w:rPr>
                <w:rFonts w:ascii="Arial" w:hAnsi="Arial"/>
              </w:rPr>
            </w:pPr>
            <w:r w:rsidRPr="00194AC7">
              <w:rPr>
                <w:rFonts w:ascii="Arial" w:hAnsi="Arial"/>
              </w:rPr>
              <w:t>0</w:t>
            </w:r>
          </w:p>
        </w:tc>
      </w:tr>
      <w:tr w:rsidR="00F16742" w:rsidRPr="00194AC7" w14:paraId="117DA29C" w14:textId="77777777" w:rsidTr="00D84E30">
        <w:trPr>
          <w:trHeight w:val="291"/>
        </w:trPr>
        <w:tc>
          <w:tcPr>
            <w:tcW w:w="3700" w:type="dxa"/>
            <w:shd w:val="clear" w:color="auto" w:fill="auto"/>
          </w:tcPr>
          <w:p w14:paraId="2137E27C" w14:textId="77777777" w:rsidR="00F16742" w:rsidRPr="00194AC7" w:rsidRDefault="00F16742" w:rsidP="00D84E30">
            <w:pPr>
              <w:jc w:val="center"/>
              <w:rPr>
                <w:rFonts w:ascii="Arial" w:hAnsi="Arial"/>
                <w:b/>
                <w:i/>
                <w:sz w:val="22"/>
                <w:szCs w:val="22"/>
              </w:rPr>
            </w:pPr>
            <w:r w:rsidRPr="00194AC7">
              <w:rPr>
                <w:rFonts w:ascii="Arial" w:hAnsi="Arial"/>
                <w:b/>
                <w:i/>
                <w:sz w:val="22"/>
                <w:szCs w:val="22"/>
              </w:rPr>
              <w:t>Total Charge:</w:t>
            </w:r>
          </w:p>
        </w:tc>
        <w:tc>
          <w:tcPr>
            <w:tcW w:w="3700" w:type="dxa"/>
            <w:shd w:val="clear" w:color="auto" w:fill="auto"/>
          </w:tcPr>
          <w:p w14:paraId="77F873C1" w14:textId="77777777" w:rsidR="00F16742" w:rsidRPr="00194AC7" w:rsidRDefault="00194AC7" w:rsidP="00D84E30">
            <w:pPr>
              <w:jc w:val="center"/>
              <w:rPr>
                <w:rFonts w:ascii="Arial" w:hAnsi="Arial"/>
                <w:sz w:val="22"/>
                <w:szCs w:val="22"/>
              </w:rPr>
            </w:pPr>
            <w:r w:rsidRPr="00194AC7">
              <w:rPr>
                <w:rFonts w:ascii="Arial" w:hAnsi="Arial"/>
                <w:sz w:val="22"/>
                <w:szCs w:val="22"/>
              </w:rPr>
              <w:t>0</w:t>
            </w:r>
          </w:p>
        </w:tc>
      </w:tr>
    </w:tbl>
    <w:p w14:paraId="1BD3F8F1" w14:textId="77777777" w:rsidR="006A3D1C" w:rsidRPr="00194AC7" w:rsidRDefault="006A3D1C" w:rsidP="00F16742">
      <w:pPr>
        <w:jc w:val="center"/>
        <w:rPr>
          <w:rFonts w:ascii="Arial" w:hAnsi="Arial"/>
        </w:rPr>
      </w:pPr>
    </w:p>
    <w:p w14:paraId="2E01E6DB" w14:textId="77777777" w:rsidR="006A3D1C" w:rsidRPr="00194AC7" w:rsidRDefault="006A3D1C">
      <w:pPr>
        <w:pStyle w:val="ListNumber"/>
        <w:numPr>
          <w:ilvl w:val="0"/>
          <w:numId w:val="0"/>
        </w:numPr>
        <w:tabs>
          <w:tab w:val="left" w:pos="720"/>
        </w:tabs>
        <w:rPr>
          <w:rFonts w:ascii="Arial" w:hAnsi="Arial"/>
        </w:rPr>
      </w:pPr>
      <w:r w:rsidRPr="00194AC7">
        <w:rPr>
          <w:rFonts w:ascii="Arial" w:hAnsi="Arial"/>
        </w:rPr>
        <w:br/>
      </w:r>
    </w:p>
    <w:p w14:paraId="1A0226F8" w14:textId="77777777" w:rsidR="006A3D1C" w:rsidRPr="00194AC7" w:rsidRDefault="006A3D1C">
      <w:pPr>
        <w:pStyle w:val="ListNumber"/>
        <w:numPr>
          <w:ilvl w:val="0"/>
          <w:numId w:val="0"/>
        </w:numPr>
        <w:tabs>
          <w:tab w:val="left" w:pos="720"/>
        </w:tabs>
        <w:rPr>
          <w:rFonts w:ascii="Arial" w:hAnsi="Arial"/>
        </w:rPr>
      </w:pPr>
    </w:p>
    <w:p w14:paraId="5F9DAF8A" w14:textId="77777777" w:rsidR="006A3D1C" w:rsidRPr="00194AC7" w:rsidRDefault="006A3D1C">
      <w:pPr>
        <w:pStyle w:val="ListNumber"/>
        <w:numPr>
          <w:ilvl w:val="0"/>
          <w:numId w:val="0"/>
        </w:numPr>
        <w:tabs>
          <w:tab w:val="left" w:pos="720"/>
        </w:tabs>
        <w:rPr>
          <w:rFonts w:ascii="Arial" w:hAnsi="Arial"/>
        </w:rPr>
      </w:pPr>
      <w:r w:rsidRPr="00194AC7">
        <w:rPr>
          <w:rFonts w:ascii="Arial" w:hAnsi="Arial"/>
        </w:rPr>
        <w:t>Options:</w:t>
      </w:r>
    </w:p>
    <w:p w14:paraId="3F642ADB" w14:textId="77777777" w:rsidR="006A3D1C" w:rsidRPr="00194AC7" w:rsidRDefault="006A3D1C">
      <w:pPr>
        <w:pStyle w:val="BodyText2"/>
        <w:rPr>
          <w:b/>
          <w:color w:val="auto"/>
          <w:sz w:val="24"/>
        </w:rPr>
      </w:pPr>
    </w:p>
    <w:p w14:paraId="00CCF8B7" w14:textId="77777777" w:rsidR="006A3D1C" w:rsidRPr="00194AC7" w:rsidRDefault="006A3D1C">
      <w:pPr>
        <w:pStyle w:val="BodyText2"/>
        <w:rPr>
          <w:color w:val="auto"/>
        </w:rPr>
      </w:pPr>
      <w:r w:rsidRPr="00194AC7">
        <w:rPr>
          <w:b/>
          <w:color w:val="auto"/>
          <w:sz w:val="24"/>
        </w:rPr>
        <w:lastRenderedPageBreak/>
        <w:fldChar w:fldCharType="begin">
          <w:ffData>
            <w:name w:val="Check2"/>
            <w:enabled/>
            <w:calcOnExit w:val="0"/>
            <w:checkBox>
              <w:sizeAuto/>
              <w:default w:val="0"/>
            </w:checkBox>
          </w:ffData>
        </w:fldChar>
      </w:r>
      <w:bookmarkStart w:id="0" w:name="Check2"/>
      <w:r w:rsidRPr="00194AC7">
        <w:rPr>
          <w:b/>
          <w:color w:val="auto"/>
          <w:sz w:val="24"/>
        </w:rPr>
        <w:instrText xml:space="preserve"> FORMCHECKBOX </w:instrText>
      </w:r>
      <w:r w:rsidR="0058411C">
        <w:rPr>
          <w:b/>
          <w:color w:val="auto"/>
          <w:sz w:val="24"/>
        </w:rPr>
      </w:r>
      <w:r w:rsidR="0058411C">
        <w:rPr>
          <w:b/>
          <w:color w:val="auto"/>
          <w:sz w:val="24"/>
        </w:rPr>
        <w:fldChar w:fldCharType="separate"/>
      </w:r>
      <w:r w:rsidRPr="00194AC7">
        <w:rPr>
          <w:b/>
          <w:color w:val="auto"/>
          <w:sz w:val="24"/>
        </w:rPr>
        <w:fldChar w:fldCharType="end"/>
      </w:r>
      <w:bookmarkEnd w:id="0"/>
      <w:r w:rsidRPr="00194AC7">
        <w:rPr>
          <w:color w:val="auto"/>
        </w:rPr>
        <w:t>I would like to receive SQL scripts to update my live database. (Some cases may still require the use of live data)</w:t>
      </w:r>
    </w:p>
    <w:p w14:paraId="526E4033" w14:textId="77777777" w:rsidR="006A3D1C" w:rsidRPr="00194AC7" w:rsidRDefault="006A3D1C">
      <w:pPr>
        <w:pStyle w:val="BodyText2"/>
        <w:rPr>
          <w:color w:val="auto"/>
        </w:rPr>
      </w:pPr>
    </w:p>
    <w:p w14:paraId="6AA1B573" w14:textId="5DBEF417" w:rsidR="006A3D1C" w:rsidRPr="00194AC7" w:rsidRDefault="006A3D1C">
      <w:pPr>
        <w:pStyle w:val="BodyText2"/>
        <w:rPr>
          <w:color w:val="auto"/>
        </w:rPr>
      </w:pPr>
      <w:r w:rsidRPr="00194AC7">
        <w:rPr>
          <w:b/>
          <w:color w:val="auto"/>
          <w:sz w:val="24"/>
        </w:rPr>
        <w:fldChar w:fldCharType="begin">
          <w:ffData>
            <w:name w:val=""/>
            <w:enabled/>
            <w:calcOnExit w:val="0"/>
            <w:checkBox>
              <w:sizeAuto/>
              <w:default w:val="0"/>
            </w:checkBox>
          </w:ffData>
        </w:fldChar>
      </w:r>
      <w:r w:rsidRPr="00194AC7">
        <w:rPr>
          <w:b/>
          <w:color w:val="auto"/>
          <w:sz w:val="24"/>
        </w:rPr>
        <w:instrText xml:space="preserve"> FORMCHECKBOX </w:instrText>
      </w:r>
      <w:r w:rsidR="0058411C">
        <w:rPr>
          <w:b/>
          <w:color w:val="auto"/>
          <w:sz w:val="24"/>
        </w:rPr>
      </w:r>
      <w:r w:rsidR="0058411C">
        <w:rPr>
          <w:b/>
          <w:color w:val="auto"/>
          <w:sz w:val="24"/>
        </w:rPr>
        <w:fldChar w:fldCharType="separate"/>
      </w:r>
      <w:r w:rsidRPr="00194AC7">
        <w:rPr>
          <w:b/>
          <w:color w:val="auto"/>
          <w:sz w:val="24"/>
        </w:rPr>
        <w:fldChar w:fldCharType="end"/>
      </w:r>
      <w:r w:rsidR="00E36CBC" w:rsidRPr="00194AC7">
        <w:rPr>
          <w:color w:val="auto"/>
        </w:rPr>
        <w:t>Please FTH</w:t>
      </w:r>
      <w:r w:rsidRPr="00194AC7">
        <w:rPr>
          <w:color w:val="auto"/>
        </w:rPr>
        <w:t xml:space="preserve"> </w:t>
      </w:r>
      <w:r w:rsidR="0080195F">
        <w:rPr>
          <w:color w:val="auto"/>
        </w:rPr>
        <w:t xml:space="preserve">(file transfer hub) </w:t>
      </w:r>
      <w:r w:rsidRPr="00194AC7">
        <w:rPr>
          <w:color w:val="auto"/>
        </w:rPr>
        <w:t xml:space="preserve">my repaired data back to me. (A Customer </w:t>
      </w:r>
      <w:r w:rsidR="00E36CBC" w:rsidRPr="00194AC7">
        <w:rPr>
          <w:color w:val="auto"/>
        </w:rPr>
        <w:t>Support Analyst will provide FTH</w:t>
      </w:r>
      <w:r w:rsidRPr="00194AC7">
        <w:rPr>
          <w:color w:val="auto"/>
        </w:rPr>
        <w:t xml:space="preserve"> procedures)</w:t>
      </w:r>
    </w:p>
    <w:p w14:paraId="58BAE8AC" w14:textId="77777777" w:rsidR="006A3D1C" w:rsidRPr="00194AC7" w:rsidRDefault="006A3D1C">
      <w:pPr>
        <w:pStyle w:val="BodyText2"/>
        <w:rPr>
          <w:color w:val="auto"/>
        </w:rPr>
      </w:pPr>
    </w:p>
    <w:p w14:paraId="157CFDE8" w14:textId="77777777" w:rsidR="006A3D1C" w:rsidRPr="00194AC7" w:rsidRDefault="006A3D1C">
      <w:pPr>
        <w:rPr>
          <w:rFonts w:ascii="Arial" w:hAnsi="Arial"/>
        </w:rPr>
      </w:pPr>
    </w:p>
    <w:p w14:paraId="77256493" w14:textId="77777777" w:rsidR="006A3D1C" w:rsidRPr="00194AC7" w:rsidRDefault="006A3D1C">
      <w:pPr>
        <w:rPr>
          <w:rFonts w:ascii="Arial" w:hAnsi="Arial"/>
        </w:rPr>
      </w:pPr>
    </w:p>
    <w:p w14:paraId="70905D8D" w14:textId="77777777" w:rsidR="006A3D1C" w:rsidRPr="00194AC7" w:rsidRDefault="006A3D1C">
      <w:pPr>
        <w:rPr>
          <w:rFonts w:ascii="Arial" w:hAnsi="Arial"/>
        </w:rPr>
      </w:pPr>
    </w:p>
    <w:p w14:paraId="6D61D7B1" w14:textId="77777777" w:rsidR="006A3D1C" w:rsidRPr="00194AC7" w:rsidRDefault="006A3D1C">
      <w:pPr>
        <w:rPr>
          <w:rFonts w:ascii="Arial" w:hAnsi="Arial"/>
        </w:rPr>
      </w:pPr>
    </w:p>
    <w:p w14:paraId="5D9C89AD" w14:textId="77777777" w:rsidR="006A3D1C" w:rsidRPr="00194AC7" w:rsidRDefault="006A3D1C">
      <w:pPr>
        <w:rPr>
          <w:rFonts w:ascii="Arial" w:hAnsi="Arial"/>
        </w:rPr>
      </w:pPr>
    </w:p>
    <w:p w14:paraId="595A8CBC" w14:textId="77777777" w:rsidR="006A3D1C" w:rsidRPr="00194AC7" w:rsidRDefault="006A3D1C">
      <w:pPr>
        <w:rPr>
          <w:rFonts w:ascii="Arial" w:hAnsi="Arial"/>
        </w:rPr>
      </w:pPr>
    </w:p>
    <w:p w14:paraId="01D5EECE" w14:textId="77777777" w:rsidR="006A3D1C" w:rsidRPr="00194AC7" w:rsidRDefault="007572A9">
      <w:pPr>
        <w:rPr>
          <w:rFonts w:ascii="Arial" w:hAnsi="Arial"/>
        </w:rPr>
      </w:pPr>
      <w:r w:rsidRPr="00194AC7">
        <w:rPr>
          <w:rFonts w:ascii="Arial" w:hAnsi="Arial"/>
        </w:rPr>
        <w:t>Abila</w:t>
      </w:r>
      <w:r w:rsidR="006A3D1C" w:rsidRPr="00194AC7">
        <w:rPr>
          <w:rFonts w:ascii="Arial" w:hAnsi="Arial"/>
        </w:rPr>
        <w:t xml:space="preserve"> will use reasonable care in performing services hereunder, but we cannot guarantee the correctness of individual data.  Adherence to accounting standards is strictly the responsibility of the customer. </w:t>
      </w:r>
    </w:p>
    <w:p w14:paraId="0736F489" w14:textId="77777777" w:rsidR="006A3D1C" w:rsidRPr="00194AC7" w:rsidRDefault="006A3D1C">
      <w:pPr>
        <w:rPr>
          <w:rFonts w:ascii="Arial" w:hAnsi="Arial"/>
        </w:rPr>
      </w:pPr>
    </w:p>
    <w:p w14:paraId="624FD8E0" w14:textId="77777777" w:rsidR="006A3D1C" w:rsidRPr="00194AC7" w:rsidRDefault="006A3D1C">
      <w:pPr>
        <w:autoSpaceDE w:val="0"/>
        <w:autoSpaceDN w:val="0"/>
        <w:adjustRightInd w:val="0"/>
        <w:rPr>
          <w:rFonts w:ascii="Arial" w:hAnsi="Arial"/>
        </w:rPr>
      </w:pPr>
    </w:p>
    <w:p w14:paraId="2C40078C" w14:textId="77777777" w:rsidR="006A3D1C" w:rsidRPr="00194AC7" w:rsidRDefault="006A3D1C">
      <w:pPr>
        <w:rPr>
          <w:rFonts w:ascii="Arial" w:hAnsi="Arial"/>
        </w:rPr>
      </w:pPr>
      <w:r w:rsidRPr="00194AC7">
        <w:rPr>
          <w:rFonts w:ascii="Arial" w:hAnsi="Arial"/>
        </w:rPr>
        <w:t xml:space="preserve">Please sign this agreement and fax it back to </w:t>
      </w:r>
      <w:r w:rsidR="007572A9" w:rsidRPr="00194AC7">
        <w:rPr>
          <w:rFonts w:ascii="Arial" w:hAnsi="Arial"/>
        </w:rPr>
        <w:t>Abila</w:t>
      </w:r>
      <w:r w:rsidRPr="00194AC7">
        <w:rPr>
          <w:rFonts w:ascii="Arial" w:hAnsi="Arial"/>
        </w:rPr>
        <w:t xml:space="preserve"> </w:t>
      </w:r>
      <w:r w:rsidR="00764BF0" w:rsidRPr="00194AC7">
        <w:rPr>
          <w:rFonts w:ascii="Arial" w:hAnsi="Arial"/>
          <w:b/>
        </w:rPr>
        <w:t xml:space="preserve">855-366-8455 </w:t>
      </w:r>
      <w:r w:rsidRPr="00194AC7">
        <w:rPr>
          <w:rFonts w:ascii="Arial" w:hAnsi="Arial"/>
        </w:rPr>
        <w:t xml:space="preserve">to my attention.  </w:t>
      </w:r>
    </w:p>
    <w:p w14:paraId="2F6E4BEB" w14:textId="77777777" w:rsidR="006A3D1C" w:rsidRPr="00194AC7" w:rsidRDefault="006A3D1C">
      <w:pPr>
        <w:rPr>
          <w:rFonts w:ascii="Arial" w:hAnsi="Arial"/>
        </w:rPr>
      </w:pPr>
    </w:p>
    <w:p w14:paraId="356349D8" w14:textId="77777777" w:rsidR="006A3D1C" w:rsidRPr="00194AC7" w:rsidRDefault="006A3D1C">
      <w:pPr>
        <w:rPr>
          <w:rFonts w:ascii="Arial" w:hAnsi="Arial"/>
        </w:rPr>
      </w:pPr>
    </w:p>
    <w:p w14:paraId="3D14A448" w14:textId="77777777" w:rsidR="006A3D1C" w:rsidRPr="00194AC7" w:rsidRDefault="006A3D1C">
      <w:pPr>
        <w:rPr>
          <w:rFonts w:ascii="Arial" w:hAnsi="Arial"/>
        </w:rPr>
      </w:pPr>
    </w:p>
    <w:p w14:paraId="5BEF3C91" w14:textId="77777777" w:rsidR="006A3D1C" w:rsidRPr="00194AC7" w:rsidRDefault="006A3D1C">
      <w:pPr>
        <w:rPr>
          <w:rFonts w:ascii="Arial" w:hAnsi="Arial"/>
        </w:rPr>
      </w:pPr>
      <w:r w:rsidRPr="00194AC7">
        <w:rPr>
          <w:rFonts w:ascii="Arial" w:hAnsi="Arial"/>
        </w:rPr>
        <w:t>Sincerely,</w:t>
      </w:r>
    </w:p>
    <w:p w14:paraId="03F35B6C" w14:textId="77777777" w:rsidR="006A3D1C" w:rsidRPr="00194AC7" w:rsidRDefault="006A3D1C">
      <w:pPr>
        <w:rPr>
          <w:rFonts w:ascii="Arial" w:hAnsi="Arial"/>
        </w:rPr>
      </w:pPr>
    </w:p>
    <w:p w14:paraId="2A07026C" w14:textId="77777777" w:rsidR="005227B2" w:rsidRPr="00FC36E1" w:rsidRDefault="005227B2" w:rsidP="005227B2">
      <w:pPr>
        <w:rPr>
          <w:rFonts w:ascii="Arial" w:hAnsi="Arial"/>
          <w:color w:val="FF0000"/>
        </w:rPr>
      </w:pPr>
      <w:r w:rsidRPr="00FC36E1">
        <w:rPr>
          <w:rFonts w:ascii="Arial" w:hAnsi="Arial"/>
          <w:color w:val="FF0000"/>
        </w:rPr>
        <w:t>&lt;Support Analyst’s Name&gt;</w:t>
      </w:r>
    </w:p>
    <w:p w14:paraId="69F4A7F2" w14:textId="77777777" w:rsidR="004C0998" w:rsidRPr="00194AC7" w:rsidRDefault="004C0998">
      <w:pPr>
        <w:rPr>
          <w:rFonts w:ascii="Arial" w:hAnsi="Arial"/>
        </w:rPr>
      </w:pPr>
    </w:p>
    <w:p w14:paraId="69DBF063" w14:textId="77777777" w:rsidR="006A3D1C" w:rsidRPr="00194AC7" w:rsidRDefault="007572A9">
      <w:pPr>
        <w:rPr>
          <w:rFonts w:ascii="Arial" w:hAnsi="Arial"/>
        </w:rPr>
      </w:pPr>
      <w:r w:rsidRPr="00194AC7">
        <w:rPr>
          <w:rFonts w:ascii="Arial" w:hAnsi="Arial"/>
        </w:rPr>
        <w:t>Abila</w:t>
      </w:r>
      <w:r w:rsidR="00410BCA" w:rsidRPr="00194AC7">
        <w:rPr>
          <w:rFonts w:ascii="Arial" w:hAnsi="Arial"/>
        </w:rPr>
        <w:t xml:space="preserve"> </w:t>
      </w:r>
      <w:r w:rsidR="006A3D1C" w:rsidRPr="00194AC7">
        <w:rPr>
          <w:rFonts w:ascii="Arial" w:hAnsi="Arial"/>
        </w:rPr>
        <w:t xml:space="preserve">Customer Support </w:t>
      </w:r>
    </w:p>
    <w:p w14:paraId="35A2015F" w14:textId="77777777" w:rsidR="00A86A34" w:rsidRPr="00194AC7" w:rsidRDefault="00A86A34">
      <w:pPr>
        <w:rPr>
          <w:rFonts w:ascii="Arial" w:hAnsi="Arial"/>
        </w:rPr>
      </w:pPr>
    </w:p>
    <w:p w14:paraId="231B7992" w14:textId="77777777" w:rsidR="006A3D1C" w:rsidRPr="00194AC7" w:rsidRDefault="006A3D1C">
      <w:pPr>
        <w:rPr>
          <w:rFonts w:ascii="Arial" w:hAnsi="Arial"/>
        </w:rPr>
      </w:pPr>
      <w:r w:rsidRPr="00194AC7">
        <w:rPr>
          <w:rFonts w:ascii="Arial" w:hAnsi="Arial"/>
        </w:rPr>
        <w:t>Please sign below indicating your acceptance of all the above terms and conditions:</w:t>
      </w:r>
    </w:p>
    <w:p w14:paraId="7013AAA1" w14:textId="77777777" w:rsidR="006A3D1C" w:rsidRPr="00194AC7" w:rsidRDefault="006A3D1C">
      <w:pPr>
        <w:tabs>
          <w:tab w:val="left" w:pos="264"/>
          <w:tab w:val="left" w:pos="528"/>
          <w:tab w:val="left" w:pos="798"/>
          <w:tab w:val="left" w:pos="1062"/>
        </w:tabs>
        <w:rPr>
          <w:rFonts w:ascii="Arial" w:hAnsi="Arial"/>
        </w:rPr>
      </w:pPr>
    </w:p>
    <w:p w14:paraId="3D85E577" w14:textId="77777777" w:rsidR="006A3D1C" w:rsidRPr="00194AC7" w:rsidRDefault="006A3D1C">
      <w:pPr>
        <w:tabs>
          <w:tab w:val="left" w:pos="-1890"/>
          <w:tab w:val="left" w:pos="-1620"/>
          <w:tab w:val="left" w:pos="-1350"/>
          <w:tab w:val="left" w:pos="528"/>
          <w:tab w:val="left" w:pos="4320"/>
          <w:tab w:val="left" w:pos="5400"/>
        </w:tabs>
        <w:rPr>
          <w:rFonts w:ascii="Arial" w:hAnsi="Arial"/>
        </w:rPr>
      </w:pPr>
      <w:r w:rsidRPr="00194AC7">
        <w:rPr>
          <w:rFonts w:ascii="Arial" w:hAnsi="Arial"/>
        </w:rPr>
        <w:t>By:</w:t>
      </w:r>
      <w:r w:rsidRPr="00194AC7">
        <w:rPr>
          <w:rFonts w:ascii="Arial" w:hAnsi="Arial"/>
        </w:rPr>
        <w:tab/>
        <w:t>_____________________________</w:t>
      </w:r>
      <w:r w:rsidRPr="00194AC7">
        <w:rPr>
          <w:rFonts w:ascii="Arial" w:hAnsi="Arial"/>
        </w:rPr>
        <w:tab/>
        <w:t>Signature:</w:t>
      </w:r>
      <w:r w:rsidRPr="00194AC7">
        <w:rPr>
          <w:rFonts w:ascii="Arial" w:hAnsi="Arial"/>
        </w:rPr>
        <w:tab/>
        <w:t>______________________________</w:t>
      </w:r>
    </w:p>
    <w:p w14:paraId="54C0CD30" w14:textId="77777777" w:rsidR="006A3D1C" w:rsidRPr="00194AC7" w:rsidRDefault="006A3D1C">
      <w:pPr>
        <w:tabs>
          <w:tab w:val="left" w:pos="264"/>
          <w:tab w:val="left" w:pos="528"/>
          <w:tab w:val="left" w:pos="798"/>
          <w:tab w:val="left" w:pos="1062"/>
        </w:tabs>
        <w:rPr>
          <w:rFonts w:ascii="Arial" w:hAnsi="Arial"/>
        </w:rPr>
      </w:pPr>
    </w:p>
    <w:p w14:paraId="038C84CE" w14:textId="77777777" w:rsidR="006A3D1C" w:rsidRPr="00194AC7" w:rsidRDefault="006A3D1C">
      <w:pPr>
        <w:tabs>
          <w:tab w:val="left" w:pos="-900"/>
          <w:tab w:val="left" w:pos="-630"/>
          <w:tab w:val="left" w:pos="540"/>
          <w:tab w:val="left" w:pos="4320"/>
          <w:tab w:val="left" w:pos="5040"/>
          <w:tab w:val="left" w:pos="5400"/>
        </w:tabs>
        <w:rPr>
          <w:rFonts w:ascii="Arial" w:hAnsi="Arial"/>
          <w:sz w:val="24"/>
        </w:rPr>
      </w:pPr>
      <w:r w:rsidRPr="00194AC7">
        <w:rPr>
          <w:rFonts w:ascii="Arial" w:hAnsi="Arial"/>
        </w:rPr>
        <w:t>Title:</w:t>
      </w:r>
      <w:r w:rsidRPr="00194AC7">
        <w:rPr>
          <w:rFonts w:ascii="Arial" w:hAnsi="Arial"/>
        </w:rPr>
        <w:tab/>
        <w:t>_____________________________</w:t>
      </w:r>
      <w:r w:rsidRPr="00194AC7">
        <w:rPr>
          <w:rFonts w:ascii="Arial" w:hAnsi="Arial"/>
        </w:rPr>
        <w:tab/>
        <w:t>Date:</w:t>
      </w:r>
      <w:r w:rsidRPr="00194AC7">
        <w:rPr>
          <w:rFonts w:ascii="Arial" w:hAnsi="Arial"/>
        </w:rPr>
        <w:tab/>
      </w:r>
      <w:r w:rsidRPr="00194AC7">
        <w:rPr>
          <w:rFonts w:ascii="Arial" w:hAnsi="Arial"/>
        </w:rPr>
        <w:tab/>
        <w:t>______________________________</w:t>
      </w:r>
    </w:p>
    <w:p w14:paraId="40CF888F" w14:textId="77777777" w:rsidR="006A3D1C" w:rsidRPr="00194AC7" w:rsidRDefault="006A3D1C">
      <w:pPr>
        <w:pStyle w:val="BodyTextIndent"/>
        <w:tabs>
          <w:tab w:val="left" w:pos="-1800"/>
          <w:tab w:val="left" w:pos="-1530"/>
          <w:tab w:val="left" w:pos="-1440"/>
          <w:tab w:val="left" w:pos="-1170"/>
          <w:tab w:val="left" w:pos="1080"/>
          <w:tab w:val="left" w:pos="2700"/>
          <w:tab w:val="left" w:pos="3690"/>
          <w:tab w:val="left" w:pos="5400"/>
          <w:tab w:val="left" w:pos="5940"/>
        </w:tabs>
        <w:ind w:firstLine="0"/>
        <w:rPr>
          <w:rStyle w:val="EmailStyle20"/>
          <w:color w:val="auto"/>
        </w:rPr>
      </w:pPr>
    </w:p>
    <w:p w14:paraId="74B6B8DA" w14:textId="77777777" w:rsidR="006A3D1C" w:rsidRPr="00194AC7" w:rsidRDefault="006A3D1C">
      <w:pPr>
        <w:pStyle w:val="BodyTextIndent"/>
        <w:tabs>
          <w:tab w:val="left" w:pos="1080"/>
          <w:tab w:val="left" w:pos="1620"/>
        </w:tabs>
        <w:ind w:firstLine="0"/>
        <w:rPr>
          <w:rStyle w:val="EmailStyle20"/>
          <w:color w:val="auto"/>
        </w:rPr>
      </w:pPr>
    </w:p>
    <w:p w14:paraId="20DE7A69" w14:textId="77777777" w:rsidR="006A3D1C" w:rsidRPr="00194AC7" w:rsidRDefault="006A3D1C">
      <w:pPr>
        <w:pStyle w:val="BodyTextIndent"/>
        <w:tabs>
          <w:tab w:val="left" w:pos="1080"/>
          <w:tab w:val="left" w:pos="1620"/>
        </w:tabs>
        <w:ind w:firstLine="0"/>
        <w:rPr>
          <w:rStyle w:val="EmailStyle20"/>
          <w:color w:val="auto"/>
        </w:rPr>
      </w:pPr>
      <w:r w:rsidRPr="00194AC7">
        <w:rPr>
          <w:rStyle w:val="EmailStyle20"/>
          <w:color w:val="auto"/>
        </w:rPr>
        <w:t>Serial No:</w:t>
      </w:r>
      <w:r w:rsidRPr="00194AC7">
        <w:rPr>
          <w:rStyle w:val="EmailStyle20"/>
          <w:color w:val="auto"/>
        </w:rPr>
        <w:tab/>
      </w:r>
      <w:r w:rsidRPr="00194AC7">
        <w:rPr>
          <w:rStyle w:val="EmailStyle20"/>
          <w:color w:val="auto"/>
        </w:rPr>
        <w:tab/>
      </w:r>
      <w:r w:rsidR="005227B2" w:rsidRPr="00FF7C3F">
        <w:rPr>
          <w:rStyle w:val="EmailStyle20"/>
          <w:color w:val="FF0000"/>
        </w:rPr>
        <w:t xml:space="preserve">XXXX     </w:t>
      </w:r>
    </w:p>
    <w:p w14:paraId="120AC153" w14:textId="77777777" w:rsidR="006A3D1C" w:rsidRDefault="006A3D1C" w:rsidP="005227B2">
      <w:pPr>
        <w:pStyle w:val="BodyTextIndent"/>
        <w:tabs>
          <w:tab w:val="left" w:pos="1080"/>
          <w:tab w:val="left" w:pos="1620"/>
        </w:tabs>
        <w:ind w:firstLine="0"/>
        <w:sectPr w:rsidR="006A3D1C">
          <w:footerReference w:type="default" r:id="rId9"/>
          <w:pgSz w:w="12240" w:h="15840" w:code="1"/>
          <w:pgMar w:top="360" w:right="720" w:bottom="360" w:left="720" w:header="432" w:footer="432" w:gutter="0"/>
          <w:cols w:space="720"/>
        </w:sectPr>
      </w:pPr>
      <w:r w:rsidRPr="00194AC7">
        <w:rPr>
          <w:rStyle w:val="EmailStyle20"/>
          <w:color w:val="auto"/>
        </w:rPr>
        <w:t>Case No:</w:t>
      </w:r>
      <w:r w:rsidRPr="00194AC7">
        <w:rPr>
          <w:rStyle w:val="EmailStyle20"/>
          <w:color w:val="auto"/>
        </w:rPr>
        <w:tab/>
      </w:r>
      <w:r w:rsidRPr="00194AC7">
        <w:rPr>
          <w:rStyle w:val="EmailStyle20"/>
          <w:color w:val="auto"/>
        </w:rPr>
        <w:tab/>
      </w:r>
      <w:r w:rsidR="005227B2" w:rsidRPr="00FF7C3F">
        <w:rPr>
          <w:rStyle w:val="EmailStyle20"/>
          <w:color w:val="FF0000"/>
        </w:rPr>
        <w:t>XXXXXXXXX</w:t>
      </w:r>
      <w:r w:rsidR="005227B2" w:rsidRPr="00FF7C3F">
        <w:rPr>
          <w:rStyle w:val="EmailStyle20"/>
          <w:b/>
          <w:color w:val="FF0000"/>
        </w:rPr>
        <w:t xml:space="preserve"> </w:t>
      </w:r>
      <w:r w:rsidR="005227B2" w:rsidRPr="00FF7C3F">
        <w:rPr>
          <w:rStyle w:val="EmailStyle20"/>
          <w:color w:val="FF0000"/>
        </w:rPr>
        <w:t xml:space="preserve"> </w:t>
      </w:r>
    </w:p>
    <w:p w14:paraId="41A742F3" w14:textId="77777777" w:rsidR="006A3D1C" w:rsidRDefault="006A3D1C">
      <w:pPr>
        <w:pStyle w:val="BodyText"/>
        <w:spacing w:after="0"/>
        <w:ind w:left="360"/>
      </w:pPr>
      <w:r>
        <w:lastRenderedPageBreak/>
        <w:t xml:space="preserve">These Terms and Conditions are incorporated into and made a part of an engagement agreement (the “Engagement Agreement”) made by and between </w:t>
      </w:r>
      <w:r w:rsidR="004E7FA1">
        <w:rPr>
          <w:snapToGrid w:val="0"/>
        </w:rPr>
        <w:t xml:space="preserve">Abila </w:t>
      </w:r>
      <w:r>
        <w:t xml:space="preserve">and one of its customers (the “Customer”), relating to customer-support case services (the “Services”) to be rendered by </w:t>
      </w:r>
      <w:r w:rsidR="004E7FA1">
        <w:rPr>
          <w:snapToGrid w:val="0"/>
        </w:rPr>
        <w:t>Abila</w:t>
      </w:r>
      <w:r w:rsidR="004C0998">
        <w:rPr>
          <w:snapToGrid w:val="0"/>
        </w:rPr>
        <w:t>.</w:t>
      </w:r>
    </w:p>
    <w:p w14:paraId="48C04E27" w14:textId="77777777" w:rsidR="006A3D1C" w:rsidRDefault="006A3D1C">
      <w:pPr>
        <w:pStyle w:val="BodyText"/>
        <w:spacing w:after="0"/>
        <w:ind w:left="360"/>
      </w:pPr>
    </w:p>
    <w:p w14:paraId="1482FAE6" w14:textId="77777777" w:rsidR="006A3D1C" w:rsidRDefault="006A3D1C">
      <w:pPr>
        <w:pStyle w:val="BodyText"/>
        <w:numPr>
          <w:ilvl w:val="0"/>
          <w:numId w:val="3"/>
        </w:numPr>
        <w:spacing w:after="0"/>
      </w:pPr>
      <w:r>
        <w:rPr>
          <w:b/>
        </w:rPr>
        <w:t>Limited Warranty</w:t>
      </w:r>
      <w:r>
        <w:t>.</w:t>
      </w:r>
    </w:p>
    <w:p w14:paraId="7FDFFD07" w14:textId="77777777" w:rsidR="006A3D1C" w:rsidRDefault="006A3D1C">
      <w:pPr>
        <w:pStyle w:val="BodyText"/>
      </w:pPr>
    </w:p>
    <w:p w14:paraId="4EFAED94" w14:textId="77777777" w:rsidR="006A3D1C" w:rsidRDefault="004E7FA1">
      <w:pPr>
        <w:pStyle w:val="BodyText"/>
        <w:numPr>
          <w:ilvl w:val="1"/>
          <w:numId w:val="3"/>
        </w:numPr>
        <w:spacing w:after="0"/>
      </w:pPr>
      <w:r>
        <w:rPr>
          <w:b/>
        </w:rPr>
        <w:t>Abila</w:t>
      </w:r>
      <w:r w:rsidR="006A3D1C">
        <w:rPr>
          <w:b/>
        </w:rPr>
        <w:t xml:space="preserve"> Warranty</w:t>
      </w:r>
      <w:r w:rsidR="006A3D1C">
        <w:t xml:space="preserve">.  </w:t>
      </w:r>
      <w:r w:rsidR="007572A9">
        <w:rPr>
          <w:b/>
        </w:rPr>
        <w:t>Abila</w:t>
      </w:r>
      <w:r w:rsidR="006A3D1C">
        <w:t xml:space="preserve"> warrants that the Services will be performed consistent with generally accepted industry standards.  No specific result from provision of the Services is assured or guaranteed.  </w:t>
      </w:r>
      <w:proofErr w:type="gramStart"/>
      <w:r w:rsidR="007572A9">
        <w:t>ABILA</w:t>
      </w:r>
      <w:r w:rsidR="006A3D1C">
        <w:t xml:space="preserve">  DISCLAIMS</w:t>
      </w:r>
      <w:proofErr w:type="gramEnd"/>
      <w:r w:rsidR="006A3D1C">
        <w:t xml:space="preserve"> ALL OTHER WARRANTIES, EXPRESS OR IMPLIED, INCLUDING BUT NOT LIMITED TO THE WARRANTIES OF MERCHANTABILITY, FITNESS FOR A PARTICULAR PURPOSE.</w:t>
      </w:r>
    </w:p>
    <w:p w14:paraId="0B79204F" w14:textId="77777777" w:rsidR="006A3D1C" w:rsidRDefault="006A3D1C">
      <w:pPr>
        <w:pStyle w:val="BodyText"/>
        <w:tabs>
          <w:tab w:val="num" w:pos="450"/>
          <w:tab w:val="left" w:pos="810"/>
        </w:tabs>
      </w:pPr>
    </w:p>
    <w:p w14:paraId="40D92C7F" w14:textId="77777777" w:rsidR="006A3D1C" w:rsidRDefault="006A3D1C">
      <w:pPr>
        <w:pStyle w:val="BodyText"/>
        <w:numPr>
          <w:ilvl w:val="1"/>
          <w:numId w:val="3"/>
        </w:numPr>
        <w:spacing w:after="0"/>
      </w:pPr>
      <w:r>
        <w:rPr>
          <w:b/>
        </w:rPr>
        <w:t>Remedies</w:t>
      </w:r>
      <w:r>
        <w:t xml:space="preserve">.  Customer’s sole remedy and </w:t>
      </w:r>
      <w:r w:rsidR="007572A9">
        <w:t>Abila</w:t>
      </w:r>
      <w:r>
        <w:t xml:space="preserve"> sole obligation in the event of a breach of the warranty contained herein is at </w:t>
      </w:r>
      <w:r w:rsidR="004E7FA1">
        <w:t>Abila</w:t>
      </w:r>
      <w:r>
        <w:t>’s sole option: (</w:t>
      </w:r>
      <w:proofErr w:type="spellStart"/>
      <w:r>
        <w:t>i</w:t>
      </w:r>
      <w:proofErr w:type="spellEnd"/>
      <w:r>
        <w:t xml:space="preserve">) to re-perform the Services, or (ii) to refund the amounts paid by Customer for the Services that were not as warranted; provided </w:t>
      </w:r>
      <w:r w:rsidR="007572A9">
        <w:t>Abila</w:t>
      </w:r>
      <w:r>
        <w:t xml:space="preserve"> has received notice from Customer within thirty (30) days of the completion of the Services that Customer alleges were not performed consistent with the warranty set forth in this Section.</w:t>
      </w:r>
    </w:p>
    <w:p w14:paraId="668CEE02" w14:textId="77777777" w:rsidR="006A3D1C" w:rsidRDefault="006A3D1C">
      <w:pPr>
        <w:pStyle w:val="BodyText"/>
      </w:pPr>
    </w:p>
    <w:p w14:paraId="4793B5D1" w14:textId="77777777" w:rsidR="006A3D1C" w:rsidRDefault="006A3D1C">
      <w:pPr>
        <w:pStyle w:val="BodyText"/>
        <w:numPr>
          <w:ilvl w:val="0"/>
          <w:numId w:val="3"/>
        </w:numPr>
        <w:spacing w:after="0"/>
      </w:pPr>
      <w:r>
        <w:rPr>
          <w:b/>
        </w:rPr>
        <w:t>Limitation of Liability</w:t>
      </w:r>
      <w:r>
        <w:t xml:space="preserve">.  NEITHER PARTY SHALL BE LIABLE TO THE OTHER PARTY FOR ANY INDIRECT, INCIDENTAL, SPECIAL OR CONSEQUENTIAL DAMAGES, INCLUDING BUT NOT LIMITED TO LOST DATA, LOST PROFITS OR COSTS OF PROCUREMENT OF SUBSTITUTE GOODS OR SERVICES, HOWEVER ARISING, EVEN IF IT HAS BEEN ADVISED OF THE POSSIBILITY OF SUCH DAMAGES.  </w:t>
      </w:r>
      <w:r w:rsidR="004E7FA1">
        <w:t>ABILA</w:t>
      </w:r>
      <w:r>
        <w:t xml:space="preserve">’S TOTAL LIABILITY FOR DAMAGES ARISING OUT OF, RELATING TO OR IN ANY WAY CONNECTED WITH THE RELATIONSHIP OF THE PARTIES UNDER ENGAGEMENT AGREEMENT, ENGAGEMENT AGREEMENT, ITS NEGOTIATION OR TERMINATION OR THE PROVISION OR NON-PROVISION OF SERVICES OR  (WHETHER IN CONTRACT OR TORT) SHALL IN NO EVENT EXEED THE AMOUNT RECEIVED BY </w:t>
      </w:r>
      <w:r w:rsidR="007572A9">
        <w:t>ABILA</w:t>
      </w:r>
      <w:r>
        <w:t xml:space="preserve">  FROM CUSTOMER UNDER THE APPLICABLE ENGAGEMENT AGREEMENT.  THE PARTIES AGREE TO THE ALLOCATION OF LIABILITY SET </w:t>
      </w:r>
      <w:smartTag w:uri="urn:schemas-microsoft-com:office:smarttags" w:element="place">
        <w:r>
          <w:t>FORTH</w:t>
        </w:r>
      </w:smartTag>
      <w:r>
        <w:t xml:space="preserve"> IN THIS SECTION. </w:t>
      </w:r>
    </w:p>
    <w:p w14:paraId="08B2ECC5" w14:textId="77777777" w:rsidR="006A3D1C" w:rsidRDefault="006A3D1C">
      <w:pPr>
        <w:pStyle w:val="BodyText"/>
      </w:pPr>
    </w:p>
    <w:p w14:paraId="5331ECE0" w14:textId="77777777" w:rsidR="006A3D1C" w:rsidRDefault="006A3D1C">
      <w:pPr>
        <w:pStyle w:val="BodyText"/>
        <w:numPr>
          <w:ilvl w:val="0"/>
          <w:numId w:val="3"/>
        </w:numPr>
        <w:spacing w:after="0"/>
      </w:pPr>
      <w:r>
        <w:rPr>
          <w:b/>
        </w:rPr>
        <w:t>Rights to Work Product; License</w:t>
      </w:r>
      <w:r>
        <w:t>.  “</w:t>
      </w:r>
      <w:r>
        <w:rPr>
          <w:b/>
        </w:rPr>
        <w:t>Work Product</w:t>
      </w:r>
      <w:r>
        <w:t xml:space="preserve">” means any expression of </w:t>
      </w:r>
      <w:r w:rsidR="004E7FA1">
        <w:t>Abila</w:t>
      </w:r>
      <w:r>
        <w:t xml:space="preserve">’s findings, analyses, conclusions, opinions, recommendations, ideas, techniques, know-how, designs, programs, enhancements, , and other technical information, including all source code, object code and derivatives of any of the foregoing.  All Work Product is and shall remain the exclusive property of </w:t>
      </w:r>
      <w:r w:rsidR="007572A9">
        <w:t>Abila</w:t>
      </w:r>
      <w:r>
        <w:t xml:space="preserve">.  Upon delivery of any Work Product, </w:t>
      </w:r>
      <w:r w:rsidR="004E7FA1">
        <w:t>Abila</w:t>
      </w:r>
      <w:r>
        <w:t xml:space="preserve"> shall grant to Customer a non-exclusive, </w:t>
      </w:r>
      <w:r>
        <w:rPr>
          <w:color w:val="000000"/>
        </w:rPr>
        <w:t xml:space="preserve">worldwide, fully paid-up and royalty-free </w:t>
      </w:r>
      <w:r>
        <w:t xml:space="preserve">right and license to access and use the Work Product delivered hereunder in the ordinary course of Customer’s activities in using a licensed copy of </w:t>
      </w:r>
      <w:r w:rsidR="004E7FA1">
        <w:t>Abila</w:t>
      </w:r>
      <w:r>
        <w:t xml:space="preserve">’s proprietary.  Notwithstanding the foregoing provisions of this Section to the contrary, </w:t>
      </w:r>
      <w:r w:rsidR="004E7FA1">
        <w:t>Abila</w:t>
      </w:r>
      <w:r>
        <w:t xml:space="preserve"> acknowledges and agrees that it shall have no rights in any Customer-created data contained in or incorporated into any Work Product. </w:t>
      </w:r>
    </w:p>
    <w:p w14:paraId="3D5926C4" w14:textId="77777777" w:rsidR="006A3D1C" w:rsidRDefault="006A3D1C">
      <w:pPr>
        <w:pStyle w:val="BodyText"/>
      </w:pPr>
    </w:p>
    <w:p w14:paraId="2030FB6E" w14:textId="77777777" w:rsidR="006A3D1C" w:rsidRDefault="006A3D1C">
      <w:pPr>
        <w:pStyle w:val="BodyText"/>
        <w:numPr>
          <w:ilvl w:val="0"/>
          <w:numId w:val="3"/>
        </w:numPr>
        <w:spacing w:after="0"/>
      </w:pPr>
      <w:r>
        <w:rPr>
          <w:b/>
        </w:rPr>
        <w:t>Independent Contractor Status</w:t>
      </w:r>
      <w:r>
        <w:t xml:space="preserve">.  </w:t>
      </w:r>
      <w:r w:rsidR="004E7FA1">
        <w:t>Abila</w:t>
      </w:r>
      <w:r>
        <w:t xml:space="preserve"> performs its obligations pursuant to this Engagement Agreement as an independent contractor, not as an employee of Customer.  Nothing in this Engagement Agreement is intended to create or be construed as the existence of a partnership, joint venture, or agency relationship between the parties.</w:t>
      </w:r>
    </w:p>
    <w:p w14:paraId="122A76B7" w14:textId="77777777" w:rsidR="006A3D1C" w:rsidRDefault="006A3D1C">
      <w:pPr>
        <w:pStyle w:val="BodyText"/>
      </w:pPr>
    </w:p>
    <w:p w14:paraId="02191676" w14:textId="77777777" w:rsidR="006A3D1C" w:rsidRDefault="006A3D1C">
      <w:pPr>
        <w:pStyle w:val="BodyText"/>
        <w:numPr>
          <w:ilvl w:val="0"/>
          <w:numId w:val="3"/>
        </w:numPr>
        <w:spacing w:after="0"/>
      </w:pPr>
      <w:r>
        <w:rPr>
          <w:b/>
        </w:rPr>
        <w:t>Termination</w:t>
      </w:r>
      <w:r>
        <w:t xml:space="preserve">.  </w:t>
      </w:r>
      <w:r>
        <w:rPr>
          <w:snapToGrid w:val="0"/>
        </w:rPr>
        <w:t xml:space="preserve">Customer may terminate Engagement Agreement, at any time by giving </w:t>
      </w:r>
      <w:r w:rsidR="004E7FA1">
        <w:rPr>
          <w:snapToGrid w:val="0"/>
        </w:rPr>
        <w:t>Abila</w:t>
      </w:r>
      <w:r>
        <w:rPr>
          <w:snapToGrid w:val="0"/>
        </w:rPr>
        <w:t xml:space="preserve"> at least thirty (30) days prior written notice of termination, provided that all fees due under this Engagement Agreement shall be paid by Customer to </w:t>
      </w:r>
      <w:r w:rsidR="004E7FA1">
        <w:rPr>
          <w:snapToGrid w:val="0"/>
        </w:rPr>
        <w:t>Abila</w:t>
      </w:r>
      <w:r>
        <w:rPr>
          <w:snapToGrid w:val="0"/>
        </w:rPr>
        <w:t xml:space="preserve"> immediately upon the effective date of such termination, including without limitation, payment in respect of all services rendered through the effective date of any termination.  </w:t>
      </w:r>
      <w:r w:rsidR="004E7FA1">
        <w:rPr>
          <w:snapToGrid w:val="0"/>
        </w:rPr>
        <w:t>Abila</w:t>
      </w:r>
      <w:r>
        <w:rPr>
          <w:snapToGrid w:val="0"/>
        </w:rPr>
        <w:t xml:space="preserve"> may terminate this Engagement Agreement for any uncured failure of Customer to fulfill its obligations hereunder, including Customer's failure to timely pay invoices.  The termination of this Engagement Agreement shall not terminate the license of any heretofore licensed to Customer by </w:t>
      </w:r>
      <w:r w:rsidR="004E7FA1">
        <w:rPr>
          <w:snapToGrid w:val="0"/>
        </w:rPr>
        <w:t>Abila</w:t>
      </w:r>
      <w:r>
        <w:rPr>
          <w:snapToGrid w:val="0"/>
        </w:rPr>
        <w:t xml:space="preserve"> </w:t>
      </w:r>
      <w:r>
        <w:rPr>
          <w:snapToGrid w:val="0"/>
        </w:rPr>
        <w:lastRenderedPageBreak/>
        <w:t>except as expressly provided therein or any license to Work Product for which Customer has paid all amounts due in respect thereof</w:t>
      </w:r>
      <w:r>
        <w:t>.</w:t>
      </w:r>
    </w:p>
    <w:p w14:paraId="177F6764" w14:textId="77777777" w:rsidR="006A3D1C" w:rsidRDefault="006A3D1C">
      <w:pPr>
        <w:pStyle w:val="BodyText"/>
      </w:pPr>
    </w:p>
    <w:p w14:paraId="0DAE157D" w14:textId="77777777" w:rsidR="006A3D1C" w:rsidRDefault="006A3D1C">
      <w:pPr>
        <w:pStyle w:val="BodyText"/>
        <w:numPr>
          <w:ilvl w:val="0"/>
          <w:numId w:val="3"/>
        </w:numPr>
        <w:spacing w:after="0"/>
      </w:pPr>
      <w:r>
        <w:rPr>
          <w:b/>
        </w:rPr>
        <w:t>Separate Agreements</w:t>
      </w:r>
      <w:r>
        <w:t xml:space="preserve">.  Customer understands and agrees that this Engagement Agreement is a separate and independent contractual obligation from any obligation under the end-user license agreement under which Customer acquired a limited license to use certain of </w:t>
      </w:r>
      <w:r w:rsidR="004E7FA1">
        <w:rPr>
          <w:snapToGrid w:val="0"/>
        </w:rPr>
        <w:t>Abila</w:t>
      </w:r>
      <w:r w:rsidR="00460A9E">
        <w:t>’s proprietary</w:t>
      </w:r>
      <w:r>
        <w:t>.</w:t>
      </w:r>
    </w:p>
    <w:p w14:paraId="6A7B22B1" w14:textId="77777777" w:rsidR="006A3D1C" w:rsidRDefault="006A3D1C">
      <w:pPr>
        <w:pStyle w:val="BodyText"/>
      </w:pPr>
    </w:p>
    <w:p w14:paraId="10EEC8AE" w14:textId="77777777" w:rsidR="006A3D1C" w:rsidRDefault="006A3D1C">
      <w:pPr>
        <w:pStyle w:val="BodyText"/>
        <w:numPr>
          <w:ilvl w:val="0"/>
          <w:numId w:val="3"/>
        </w:numPr>
        <w:spacing w:after="0"/>
      </w:pPr>
      <w:r>
        <w:rPr>
          <w:b/>
        </w:rPr>
        <w:t>General</w:t>
      </w:r>
      <w:r>
        <w:t xml:space="preserve">.  This Engagement Agreement is made in and shall be governed by the laws of the State of </w:t>
      </w:r>
      <w:r w:rsidR="004E7FA1">
        <w:t>Texas</w:t>
      </w:r>
      <w:r>
        <w:t xml:space="preserve">, without regard to its choice of law principles.  Jurisdiction and venue shall be in an appropriate state or federal court in </w:t>
      </w:r>
      <w:r w:rsidR="004E7FA1">
        <w:t>Texas</w:t>
      </w:r>
      <w:r>
        <w:t xml:space="preserve">.  The section headings herein are provided for convenience only and have no substantive effect on the construction of this Engagement Agreement.  No purchase order or other ordering document that purports to modify or supplement the text of this Engagement Agreement shall add or vary the terms of this Engagement Agreement.  All such proposed variations or additions (whether submitted by </w:t>
      </w:r>
      <w:r w:rsidR="004E7FA1">
        <w:rPr>
          <w:snapToGrid w:val="0"/>
        </w:rPr>
        <w:t>Abila</w:t>
      </w:r>
      <w:r>
        <w:t xml:space="preserve"> or Customer) are objected to and deemed material unless otherwise agreed to in writing.  Except for Customer’s obligation to pay </w:t>
      </w:r>
      <w:r w:rsidR="004E7FA1">
        <w:rPr>
          <w:snapToGrid w:val="0"/>
        </w:rPr>
        <w:t>Abila</w:t>
      </w:r>
      <w:r>
        <w:t xml:space="preserve"> fees in relation to the Services, neither party shall be liable for any failure to perform due to causes beyond its reasonable control.  If any provision of this Engagement Agreement is held to be unenforceable, this Engagement Agreement shall be construed without such right or any other right in the future.  Except for actions for non-payment or breach of </w:t>
      </w:r>
      <w:r w:rsidR="004E7FA1">
        <w:rPr>
          <w:snapToGrid w:val="0"/>
        </w:rPr>
        <w:t>Abila</w:t>
      </w:r>
      <w:r>
        <w:t>’s proprietary rights in the Work Product, no action, regardless of form arising out of this Engagement Agreement may be brought by either party more than one year after the cause of action has accrued.  This Engagement Agreement replaces and supersedes any prior verbal or written understandings, proposals, quotations, communications, and representations between the parties relating to the subject matter hereof.  This Engagement Agreement may be amended only by a written document executed by a duly authorized representative of each of the parties.  Except as otherwise specifically stated herein, remedies shall be cumulative and there shall be no obligation to exercise a particular remedy.</w:t>
      </w:r>
    </w:p>
    <w:p w14:paraId="33956FA9" w14:textId="77777777" w:rsidR="006A3D1C" w:rsidRDefault="006A3D1C">
      <w:pPr>
        <w:pStyle w:val="BodyTextIndent"/>
        <w:ind w:firstLine="0"/>
      </w:pPr>
    </w:p>
    <w:sectPr w:rsidR="006A3D1C">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659FF" w14:textId="77777777" w:rsidR="002C2E8B" w:rsidRDefault="002C2E8B">
      <w:r>
        <w:separator/>
      </w:r>
    </w:p>
  </w:endnote>
  <w:endnote w:type="continuationSeparator" w:id="0">
    <w:p w14:paraId="3C141693" w14:textId="77777777" w:rsidR="002C2E8B" w:rsidRDefault="002C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D286" w14:textId="77777777" w:rsidR="002C2E8B" w:rsidRDefault="002C2E8B">
    <w:pPr>
      <w:pStyle w:val="Footer"/>
      <w:tabs>
        <w:tab w:val="left" w:pos="97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C470" w14:textId="77777777" w:rsidR="002C2E8B" w:rsidRDefault="002C2E8B">
    <w:pPr>
      <w:pStyle w:val="Footer"/>
    </w:pPr>
    <w:r>
      <w:rPr>
        <w:snapToGrid w:val="0"/>
      </w:rPr>
      <w:tab/>
    </w:r>
    <w:r>
      <w:fldChar w:fldCharType="begin"/>
    </w:r>
    <w:r>
      <w:instrText xml:space="preserve"> PAGE </w:instrText>
    </w:r>
    <w:r>
      <w:fldChar w:fldCharType="separate"/>
    </w:r>
    <w:r w:rsidR="005227B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F7AD" w14:textId="77777777" w:rsidR="002C2E8B" w:rsidRDefault="002C2E8B">
      <w:r>
        <w:separator/>
      </w:r>
    </w:p>
  </w:footnote>
  <w:footnote w:type="continuationSeparator" w:id="0">
    <w:p w14:paraId="74CE13B9" w14:textId="77777777" w:rsidR="002C2E8B" w:rsidRDefault="002C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4BBAE" w14:textId="77777777" w:rsidR="002C2E8B" w:rsidRDefault="002C2E8B">
    <w:pPr>
      <w:pStyle w:val="BodyText"/>
      <w:spacing w:after="0"/>
      <w:ind w:left="360"/>
      <w:jc w:val="center"/>
    </w:pPr>
    <w:r>
      <w:t>TERMS AND CONDITIONS RELATING TO CUSTOMER-SUPPORT CASE SERVICES</w:t>
    </w:r>
  </w:p>
  <w:p w14:paraId="4380F47A" w14:textId="77777777" w:rsidR="002C2E8B" w:rsidRDefault="002C2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FDCE1E6"/>
    <w:lvl w:ilvl="0">
      <w:start w:val="1"/>
      <w:numFmt w:val="decimal"/>
      <w:lvlText w:val="%1."/>
      <w:lvlJc w:val="left"/>
      <w:pPr>
        <w:tabs>
          <w:tab w:val="num" w:pos="360"/>
        </w:tabs>
        <w:ind w:left="360" w:hanging="360"/>
      </w:pPr>
    </w:lvl>
  </w:abstractNum>
  <w:abstractNum w:abstractNumId="1" w15:restartNumberingAfterBreak="0">
    <w:nsid w:val="08001822"/>
    <w:multiLevelType w:val="hybridMultilevel"/>
    <w:tmpl w:val="FAC29F78"/>
    <w:lvl w:ilvl="0" w:tplc="A0D20BEA">
      <w:start w:val="1"/>
      <w:numFmt w:val="decimal"/>
      <w:pStyle w:val="ListNumber"/>
      <w:lvlText w:val="%1."/>
      <w:lvlJc w:val="left"/>
      <w:pPr>
        <w:tabs>
          <w:tab w:val="num" w:pos="720"/>
        </w:tabs>
        <w:ind w:left="720" w:hanging="360"/>
      </w:pPr>
    </w:lvl>
    <w:lvl w:ilvl="1" w:tplc="51325CBE">
      <w:start w:val="1"/>
      <w:numFmt w:val="lowerLetter"/>
      <w:lvlText w:val="%2."/>
      <w:lvlJc w:val="left"/>
      <w:pPr>
        <w:tabs>
          <w:tab w:val="num" w:pos="1440"/>
        </w:tabs>
        <w:ind w:left="1440" w:hanging="360"/>
      </w:pPr>
    </w:lvl>
    <w:lvl w:ilvl="2" w:tplc="5B60D168" w:tentative="1">
      <w:start w:val="1"/>
      <w:numFmt w:val="lowerRoman"/>
      <w:lvlText w:val="%3."/>
      <w:lvlJc w:val="right"/>
      <w:pPr>
        <w:tabs>
          <w:tab w:val="num" w:pos="2160"/>
        </w:tabs>
        <w:ind w:left="2160" w:hanging="180"/>
      </w:pPr>
    </w:lvl>
    <w:lvl w:ilvl="3" w:tplc="33443CF2" w:tentative="1">
      <w:start w:val="1"/>
      <w:numFmt w:val="decimal"/>
      <w:lvlText w:val="%4."/>
      <w:lvlJc w:val="left"/>
      <w:pPr>
        <w:tabs>
          <w:tab w:val="num" w:pos="2880"/>
        </w:tabs>
        <w:ind w:left="2880" w:hanging="360"/>
      </w:pPr>
    </w:lvl>
    <w:lvl w:ilvl="4" w:tplc="62164446" w:tentative="1">
      <w:start w:val="1"/>
      <w:numFmt w:val="lowerLetter"/>
      <w:lvlText w:val="%5."/>
      <w:lvlJc w:val="left"/>
      <w:pPr>
        <w:tabs>
          <w:tab w:val="num" w:pos="3600"/>
        </w:tabs>
        <w:ind w:left="3600" w:hanging="360"/>
      </w:pPr>
    </w:lvl>
    <w:lvl w:ilvl="5" w:tplc="C42EB71E" w:tentative="1">
      <w:start w:val="1"/>
      <w:numFmt w:val="lowerRoman"/>
      <w:lvlText w:val="%6."/>
      <w:lvlJc w:val="right"/>
      <w:pPr>
        <w:tabs>
          <w:tab w:val="num" w:pos="4320"/>
        </w:tabs>
        <w:ind w:left="4320" w:hanging="180"/>
      </w:pPr>
    </w:lvl>
    <w:lvl w:ilvl="6" w:tplc="9E50D224" w:tentative="1">
      <w:start w:val="1"/>
      <w:numFmt w:val="decimal"/>
      <w:lvlText w:val="%7."/>
      <w:lvlJc w:val="left"/>
      <w:pPr>
        <w:tabs>
          <w:tab w:val="num" w:pos="5040"/>
        </w:tabs>
        <w:ind w:left="5040" w:hanging="360"/>
      </w:pPr>
    </w:lvl>
    <w:lvl w:ilvl="7" w:tplc="6D84E2C4" w:tentative="1">
      <w:start w:val="1"/>
      <w:numFmt w:val="lowerLetter"/>
      <w:lvlText w:val="%8."/>
      <w:lvlJc w:val="left"/>
      <w:pPr>
        <w:tabs>
          <w:tab w:val="num" w:pos="5760"/>
        </w:tabs>
        <w:ind w:left="5760" w:hanging="360"/>
      </w:pPr>
    </w:lvl>
    <w:lvl w:ilvl="8" w:tplc="3A92617A" w:tentative="1">
      <w:start w:val="1"/>
      <w:numFmt w:val="lowerRoman"/>
      <w:lvlText w:val="%9."/>
      <w:lvlJc w:val="right"/>
      <w:pPr>
        <w:tabs>
          <w:tab w:val="num" w:pos="6480"/>
        </w:tabs>
        <w:ind w:left="6480" w:hanging="180"/>
      </w:pPr>
    </w:lvl>
  </w:abstractNum>
  <w:abstractNum w:abstractNumId="2" w15:restartNumberingAfterBreak="0">
    <w:nsid w:val="32A80BAE"/>
    <w:multiLevelType w:val="hybridMultilevel"/>
    <w:tmpl w:val="97AE6A7C"/>
    <w:lvl w:ilvl="0" w:tplc="7BA4A87C">
      <w:start w:val="1"/>
      <w:numFmt w:val="bullet"/>
      <w:lvlText w:val=""/>
      <w:lvlJc w:val="left"/>
      <w:pPr>
        <w:tabs>
          <w:tab w:val="num" w:pos="720"/>
        </w:tabs>
        <w:ind w:left="720" w:hanging="360"/>
      </w:pPr>
      <w:rPr>
        <w:rFonts w:ascii="Wingdings" w:hAnsi="Wingdings" w:hint="default"/>
        <w:sz w:val="16"/>
      </w:rPr>
    </w:lvl>
    <w:lvl w:ilvl="1" w:tplc="483CA7BC" w:tentative="1">
      <w:start w:val="1"/>
      <w:numFmt w:val="bullet"/>
      <w:lvlText w:val="o"/>
      <w:lvlJc w:val="left"/>
      <w:pPr>
        <w:tabs>
          <w:tab w:val="num" w:pos="1440"/>
        </w:tabs>
        <w:ind w:left="1440" w:hanging="360"/>
      </w:pPr>
      <w:rPr>
        <w:rFonts w:ascii="Courier New" w:hAnsi="Courier New" w:hint="default"/>
      </w:rPr>
    </w:lvl>
    <w:lvl w:ilvl="2" w:tplc="53986B10" w:tentative="1">
      <w:start w:val="1"/>
      <w:numFmt w:val="bullet"/>
      <w:lvlText w:val=""/>
      <w:lvlJc w:val="left"/>
      <w:pPr>
        <w:tabs>
          <w:tab w:val="num" w:pos="2160"/>
        </w:tabs>
        <w:ind w:left="2160" w:hanging="360"/>
      </w:pPr>
      <w:rPr>
        <w:rFonts w:ascii="Wingdings" w:hAnsi="Wingdings" w:hint="default"/>
      </w:rPr>
    </w:lvl>
    <w:lvl w:ilvl="3" w:tplc="D73CC3C4" w:tentative="1">
      <w:start w:val="1"/>
      <w:numFmt w:val="bullet"/>
      <w:lvlText w:val=""/>
      <w:lvlJc w:val="left"/>
      <w:pPr>
        <w:tabs>
          <w:tab w:val="num" w:pos="2880"/>
        </w:tabs>
        <w:ind w:left="2880" w:hanging="360"/>
      </w:pPr>
      <w:rPr>
        <w:rFonts w:ascii="Symbol" w:hAnsi="Symbol" w:hint="default"/>
      </w:rPr>
    </w:lvl>
    <w:lvl w:ilvl="4" w:tplc="B120C3D0" w:tentative="1">
      <w:start w:val="1"/>
      <w:numFmt w:val="bullet"/>
      <w:lvlText w:val="o"/>
      <w:lvlJc w:val="left"/>
      <w:pPr>
        <w:tabs>
          <w:tab w:val="num" w:pos="3600"/>
        </w:tabs>
        <w:ind w:left="3600" w:hanging="360"/>
      </w:pPr>
      <w:rPr>
        <w:rFonts w:ascii="Courier New" w:hAnsi="Courier New" w:hint="default"/>
      </w:rPr>
    </w:lvl>
    <w:lvl w:ilvl="5" w:tplc="93A8261E" w:tentative="1">
      <w:start w:val="1"/>
      <w:numFmt w:val="bullet"/>
      <w:lvlText w:val=""/>
      <w:lvlJc w:val="left"/>
      <w:pPr>
        <w:tabs>
          <w:tab w:val="num" w:pos="4320"/>
        </w:tabs>
        <w:ind w:left="4320" w:hanging="360"/>
      </w:pPr>
      <w:rPr>
        <w:rFonts w:ascii="Wingdings" w:hAnsi="Wingdings" w:hint="default"/>
      </w:rPr>
    </w:lvl>
    <w:lvl w:ilvl="6" w:tplc="D9623B42" w:tentative="1">
      <w:start w:val="1"/>
      <w:numFmt w:val="bullet"/>
      <w:lvlText w:val=""/>
      <w:lvlJc w:val="left"/>
      <w:pPr>
        <w:tabs>
          <w:tab w:val="num" w:pos="5040"/>
        </w:tabs>
        <w:ind w:left="5040" w:hanging="360"/>
      </w:pPr>
      <w:rPr>
        <w:rFonts w:ascii="Symbol" w:hAnsi="Symbol" w:hint="default"/>
      </w:rPr>
    </w:lvl>
    <w:lvl w:ilvl="7" w:tplc="A70C120E" w:tentative="1">
      <w:start w:val="1"/>
      <w:numFmt w:val="bullet"/>
      <w:lvlText w:val="o"/>
      <w:lvlJc w:val="left"/>
      <w:pPr>
        <w:tabs>
          <w:tab w:val="num" w:pos="5760"/>
        </w:tabs>
        <w:ind w:left="5760" w:hanging="360"/>
      </w:pPr>
      <w:rPr>
        <w:rFonts w:ascii="Courier New" w:hAnsi="Courier New" w:hint="default"/>
      </w:rPr>
    </w:lvl>
    <w:lvl w:ilvl="8" w:tplc="20AEF9B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S:\Forms &amp; Templates\Forms\Data Engagement Letters\FA\Merge file_EngagementLetterMasterInput.doc"/>
  </w:mailMerge>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CBC"/>
    <w:rsid w:val="000460B2"/>
    <w:rsid w:val="00194AC7"/>
    <w:rsid w:val="002C2E8B"/>
    <w:rsid w:val="00394278"/>
    <w:rsid w:val="003B7452"/>
    <w:rsid w:val="003E6AA4"/>
    <w:rsid w:val="00410BCA"/>
    <w:rsid w:val="0043220B"/>
    <w:rsid w:val="00440893"/>
    <w:rsid w:val="00460A9E"/>
    <w:rsid w:val="004C0998"/>
    <w:rsid w:val="004E7FA1"/>
    <w:rsid w:val="005227B2"/>
    <w:rsid w:val="00581CBE"/>
    <w:rsid w:val="0058411C"/>
    <w:rsid w:val="006A3D1C"/>
    <w:rsid w:val="006B0461"/>
    <w:rsid w:val="007572A9"/>
    <w:rsid w:val="00764BF0"/>
    <w:rsid w:val="007754AB"/>
    <w:rsid w:val="007B66D9"/>
    <w:rsid w:val="0080195F"/>
    <w:rsid w:val="00995D1C"/>
    <w:rsid w:val="00A70B39"/>
    <w:rsid w:val="00A86A34"/>
    <w:rsid w:val="00AA4BB4"/>
    <w:rsid w:val="00AB2605"/>
    <w:rsid w:val="00AD2895"/>
    <w:rsid w:val="00B5587A"/>
    <w:rsid w:val="00C27C99"/>
    <w:rsid w:val="00C53EC8"/>
    <w:rsid w:val="00CA05DD"/>
    <w:rsid w:val="00D84E30"/>
    <w:rsid w:val="00E36CBC"/>
    <w:rsid w:val="00EE62D4"/>
    <w:rsid w:val="00F16742"/>
    <w:rsid w:val="00FB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1745"/>
    <o:shapelayout v:ext="edit">
      <o:idmap v:ext="edit" data="1"/>
    </o:shapelayout>
  </w:shapeDefaults>
  <w:decimalSymbol w:val="."/>
  <w:listSeparator w:val=","/>
  <w14:docId w14:val="6160D355"/>
  <w15:docId w15:val="{70DF5667-A103-4F94-B813-B5043FE9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firstLine="270"/>
      <w:outlineLvl w:val="0"/>
    </w:pPr>
    <w:rPr>
      <w:rFonts w:ascii="Arial Black" w:hAnsi="Arial Black"/>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character" w:styleId="Emphasis">
    <w:name w:val="Emphasis"/>
    <w:qFormat/>
    <w:rPr>
      <w:caps/>
      <w:spacing w:val="10"/>
      <w:sz w:val="16"/>
    </w:rPr>
  </w:style>
  <w:style w:type="paragraph" w:styleId="MessageHeader">
    <w:name w:val="Message Header"/>
    <w:basedOn w:val="BodyText"/>
    <w:pPr>
      <w:keepLines/>
      <w:spacing w:after="40" w:line="140" w:lineRule="atLeast"/>
      <w:ind w:left="360"/>
    </w:pPr>
    <w:rPr>
      <w:rFonts w:ascii="Garamond" w:hAnsi="Garamond"/>
      <w:spacing w:val="-5"/>
      <w:sz w:val="24"/>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position w:val="6"/>
      <w:sz w:val="14"/>
    </w:rPr>
  </w:style>
  <w:style w:type="paragraph" w:customStyle="1" w:styleId="MessageHeaderLast">
    <w:name w:val="Message Header Last"/>
    <w:basedOn w:val="MessageHeader"/>
    <w:next w:val="BodyTex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BodyText">
    <w:name w:val="Body Text"/>
    <w:basedOn w:val="Normal"/>
    <w:pPr>
      <w:spacing w:after="120"/>
    </w:pPr>
  </w:style>
  <w:style w:type="paragraph" w:styleId="BodyTextIndent">
    <w:name w:val="Body Text Indent"/>
    <w:basedOn w:val="Normal"/>
    <w:pPr>
      <w:ind w:firstLine="270"/>
    </w:pPr>
    <w:rPr>
      <w:rFonts w:ascii="Arial" w:hAnsi="Arial"/>
    </w:rPr>
  </w:style>
  <w:style w:type="paragraph" w:customStyle="1" w:styleId="FaxHeader">
    <w:name w:val="Fax Header"/>
    <w:basedOn w:val="Normal"/>
    <w:pPr>
      <w:spacing w:before="240" w:after="60"/>
    </w:pPr>
  </w:style>
  <w:style w:type="character" w:styleId="PageNumber">
    <w:name w:val="page number"/>
    <w:basedOn w:val="DefaultParagraphFont"/>
  </w:style>
  <w:style w:type="character" w:customStyle="1" w:styleId="EmailStyle20">
    <w:name w:val="EmailStyle20"/>
    <w:rPr>
      <w:rFonts w:ascii="Arial" w:hAnsi="Arial" w:cs="Arial"/>
      <w:color w:val="000000"/>
      <w:sz w:val="20"/>
      <w:szCs w:val="20"/>
    </w:rPr>
  </w:style>
  <w:style w:type="paragraph" w:styleId="ListNumber">
    <w:name w:val="List Number"/>
    <w:basedOn w:val="Normal"/>
    <w:pPr>
      <w:numPr>
        <w:numId w:val="3"/>
      </w:numPr>
      <w:ind w:left="360"/>
      <w:jc w:val="both"/>
    </w:pPr>
    <w:rPr>
      <w:rFonts w:ascii="Tahoma" w:hAnsi="Tahoma" w:cs="Tahoma"/>
    </w:rPr>
  </w:style>
  <w:style w:type="paragraph" w:styleId="BodyText2">
    <w:name w:val="Body Text 2"/>
    <w:basedOn w:val="Normal"/>
    <w:rPr>
      <w:rFonts w:ascii="Arial" w:hAnsi="Arial" w:cs="Arial"/>
      <w:color w:val="000000"/>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7DA4-65F6-40ED-AEBB-7840B798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Start text here</vt:lpstr>
    </vt:vector>
  </TitlesOfParts>
  <Company>Micro Information Products</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text here</dc:title>
  <dc:creator>Lara Brown</dc:creator>
  <cp:lastModifiedBy>Terri ONeal</cp:lastModifiedBy>
  <cp:revision>3</cp:revision>
  <cp:lastPrinted>2004-01-02T14:06:00Z</cp:lastPrinted>
  <dcterms:created xsi:type="dcterms:W3CDTF">2020-12-31T18:17:00Z</dcterms:created>
  <dcterms:modified xsi:type="dcterms:W3CDTF">2020-12-31T18:50:00Z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-1011840188</vt:i4>
  </property>
  <property fmtid="{D5CDD505-2E9C-101B-9397-08002B2CF9AE}" pid="3" name="_EmailSubject">
    <vt:lpwstr>3333 Engagement Letter 1-2-04.doc</vt:lpwstr>
  </property>
  <property fmtid="{D5CDD505-2E9C-101B-9397-08002B2CF9AE}" pid="4" name="_AuthorEmail">
    <vt:lpwstr>emily.lewis@bestsoftware.com</vt:lpwstr>
  </property>
  <property fmtid="{D5CDD505-2E9C-101B-9397-08002B2CF9AE}" pid="5" name="_AuthorEmailDisplayName">
    <vt:lpwstr>Lewis, Emily</vt:lpwstr>
  </property>
  <property fmtid="{D5CDD505-2E9C-101B-9397-08002B2CF9AE}" pid="6" name="_PreviousAdHocReviewCycleID">
    <vt:i4>-608921574</vt:i4>
  </property>
  <property fmtid="{D5CDD505-2E9C-101B-9397-08002B2CF9AE}" pid="7" name="_ReviewingToolsShownOnce">
    <vt:lpwstr/>
  </property>
</Properties>
</file>